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15BF" w14:textId="77777777" w:rsidR="00910BC0" w:rsidRPr="00044742" w:rsidRDefault="00910BC0" w:rsidP="00001FEA">
      <w:pPr>
        <w:rPr>
          <w:rFonts w:cs="Arial"/>
        </w:rPr>
      </w:pPr>
      <w:r w:rsidRPr="00044742">
        <w:rPr>
          <w:rFonts w:cs="Arial"/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0939FDF2" wp14:editId="10CFE2B7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2238375" cy="459105"/>
            <wp:effectExtent l="0" t="0" r="9525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227B6" w14:textId="77777777" w:rsidR="00910BC0" w:rsidRPr="00D5657C" w:rsidRDefault="00910BC0" w:rsidP="00001FEA">
      <w:pPr>
        <w:rPr>
          <w:rFonts w:cs="Arial"/>
        </w:rPr>
      </w:pPr>
    </w:p>
    <w:p w14:paraId="65AA5D89" w14:textId="77777777" w:rsidR="00910BC0" w:rsidRPr="00D5657C" w:rsidRDefault="00910BC0" w:rsidP="00001FEA">
      <w:pPr>
        <w:rPr>
          <w:rFonts w:cs="Arial"/>
        </w:rPr>
      </w:pPr>
    </w:p>
    <w:p w14:paraId="53D34AAD" w14:textId="77777777" w:rsidR="00F31BF3" w:rsidRPr="00D5657C" w:rsidRDefault="00F31BF3" w:rsidP="00001FEA">
      <w:pPr>
        <w:rPr>
          <w:rFonts w:cs="Arial"/>
          <w:sz w:val="96"/>
          <w:szCs w:val="96"/>
        </w:rPr>
      </w:pPr>
    </w:p>
    <w:p w14:paraId="6BE4BCFD" w14:textId="77777777" w:rsidR="008200DB" w:rsidRPr="00D5657C" w:rsidRDefault="008200DB" w:rsidP="00001FEA">
      <w:pPr>
        <w:rPr>
          <w:rFonts w:cs="Arial"/>
          <w:sz w:val="96"/>
          <w:szCs w:val="96"/>
        </w:rPr>
      </w:pPr>
    </w:p>
    <w:p w14:paraId="41333690" w14:textId="0CB29107" w:rsidR="00D5657C" w:rsidRDefault="00D5657C" w:rsidP="00001FEA">
      <w:pPr>
        <w:jc w:val="center"/>
        <w:rPr>
          <w:rFonts w:cs="Arial"/>
          <w:sz w:val="56"/>
          <w:szCs w:val="56"/>
        </w:rPr>
      </w:pPr>
    </w:p>
    <w:p w14:paraId="64C10781" w14:textId="77777777" w:rsidR="00D739A8" w:rsidRPr="00D5657C" w:rsidRDefault="000F2203" w:rsidP="00001FEA">
      <w:pPr>
        <w:jc w:val="center"/>
        <w:rPr>
          <w:rFonts w:cs="Arial"/>
          <w:sz w:val="56"/>
          <w:szCs w:val="56"/>
        </w:rPr>
      </w:pPr>
      <w:r w:rsidRPr="00D5657C">
        <w:rPr>
          <w:rFonts w:cs="Arial"/>
          <w:sz w:val="56"/>
          <w:szCs w:val="56"/>
        </w:rPr>
        <w:t>Nacionalni plan upravljanja željezničkom infrastrukturom i uslužnim objektima i razvoja usluga željezničkog prijevoza</w:t>
      </w:r>
      <w:r w:rsidR="0040553E" w:rsidRPr="00D5657C">
        <w:rPr>
          <w:rFonts w:cs="Arial"/>
          <w:sz w:val="56"/>
          <w:szCs w:val="56"/>
        </w:rPr>
        <w:t xml:space="preserve"> </w:t>
      </w:r>
      <w:r w:rsidR="008879F0" w:rsidRPr="00D5657C">
        <w:rPr>
          <w:rFonts w:cs="Arial"/>
          <w:sz w:val="56"/>
          <w:szCs w:val="56"/>
        </w:rPr>
        <w:t xml:space="preserve">za razdoblje </w:t>
      </w:r>
      <w:r w:rsidR="0040553E" w:rsidRPr="00D5657C">
        <w:rPr>
          <w:rFonts w:cs="Arial"/>
          <w:sz w:val="56"/>
          <w:szCs w:val="56"/>
        </w:rPr>
        <w:t>do 203</w:t>
      </w:r>
      <w:r w:rsidR="001C06E8" w:rsidRPr="00D5657C">
        <w:rPr>
          <w:rFonts w:cs="Arial"/>
          <w:sz w:val="56"/>
          <w:szCs w:val="56"/>
        </w:rPr>
        <w:t>0</w:t>
      </w:r>
      <w:r w:rsidR="0040553E" w:rsidRPr="00D5657C">
        <w:rPr>
          <w:rFonts w:cs="Arial"/>
          <w:sz w:val="56"/>
          <w:szCs w:val="56"/>
        </w:rPr>
        <w:t>. godine</w:t>
      </w:r>
    </w:p>
    <w:p w14:paraId="5C49CDDB" w14:textId="77777777" w:rsidR="00F4167B" w:rsidRDefault="00F4167B" w:rsidP="00D5657C">
      <w:pPr>
        <w:jc w:val="center"/>
        <w:rPr>
          <w:rFonts w:cs="Arial"/>
          <w:sz w:val="56"/>
          <w:szCs w:val="56"/>
        </w:rPr>
      </w:pPr>
    </w:p>
    <w:p w14:paraId="166B3D47" w14:textId="77777777" w:rsidR="00D5657C" w:rsidRDefault="00D5657C" w:rsidP="00D5657C">
      <w:pPr>
        <w:jc w:val="center"/>
        <w:rPr>
          <w:rFonts w:cs="Arial"/>
          <w:sz w:val="56"/>
          <w:szCs w:val="56"/>
        </w:rPr>
      </w:pPr>
    </w:p>
    <w:p w14:paraId="2B1A83CB" w14:textId="19C47AFD" w:rsidR="00D5657C" w:rsidRPr="00D5657C" w:rsidRDefault="00D62B6F" w:rsidP="00D5657C">
      <w:pPr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PROSINAC</w:t>
      </w:r>
      <w:r w:rsidR="00D5657C">
        <w:rPr>
          <w:rFonts w:cs="Arial"/>
          <w:sz w:val="56"/>
          <w:szCs w:val="56"/>
        </w:rPr>
        <w:t xml:space="preserve"> 2022. </w:t>
      </w:r>
    </w:p>
    <w:p w14:paraId="333EC2A9" w14:textId="77777777" w:rsidR="00F4167B" w:rsidRPr="00044742" w:rsidRDefault="0079713F" w:rsidP="00001FEA">
      <w:pPr>
        <w:rPr>
          <w:rFonts w:cs="Arial"/>
        </w:rPr>
        <w:sectPr w:rsidR="00F4167B" w:rsidRPr="00044742" w:rsidSect="00001FEA">
          <w:footerReference w:type="default" r:id="rId9"/>
          <w:pgSz w:w="11906" w:h="16838"/>
          <w:pgMar w:top="1890" w:right="1440" w:bottom="1701" w:left="1843" w:header="708" w:footer="708" w:gutter="0"/>
          <w:cols w:space="708"/>
          <w:docGrid w:linePitch="360"/>
        </w:sect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949FE" wp14:editId="3AD86200">
                <wp:simplePos x="0" y="0"/>
                <wp:positionH relativeFrom="margin">
                  <wp:align>center</wp:align>
                </wp:positionH>
                <wp:positionV relativeFrom="page">
                  <wp:posOffset>9334500</wp:posOffset>
                </wp:positionV>
                <wp:extent cx="1651000" cy="336550"/>
                <wp:effectExtent l="0" t="0" r="0" b="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2607A" w14:textId="77777777" w:rsidR="005135D0" w:rsidRPr="00F4167B" w:rsidRDefault="005135D0" w:rsidP="0001773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LISTOPAD</w:t>
                            </w:r>
                            <w:r w:rsidRPr="00F4167B">
                              <w:rPr>
                                <w:color w:val="FFFFFF" w:themeColor="background1"/>
                              </w:rPr>
                              <w:t xml:space="preserve">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49FE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0;margin-top:735pt;width:130pt;height:26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" filled="f" stroked="f" strokeweight=".5pt">
                <v:textbox>
                  <w:txbxContent>
                    <w:p w14:paraId="1172607A" w14:textId="77777777" w:rsidR="005135D0" w:rsidRPr="00F4167B" w:rsidRDefault="005135D0" w:rsidP="0001773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LISTOPAD</w:t>
                      </w:r>
                      <w:r w:rsidRPr="00F4167B">
                        <w:rPr>
                          <w:color w:val="FFFFFF" w:themeColor="background1"/>
                        </w:rPr>
                        <w:t xml:space="preserve"> 2022.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473D7" wp14:editId="694CD0C6">
                <wp:simplePos x="0" y="0"/>
                <wp:positionH relativeFrom="margin">
                  <wp:posOffset>2389505</wp:posOffset>
                </wp:positionH>
                <wp:positionV relativeFrom="paragraph">
                  <wp:posOffset>5728970</wp:posOffset>
                </wp:positionV>
                <wp:extent cx="1228725" cy="266700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0EFAD" w14:textId="77777777" w:rsidR="005135D0" w:rsidRPr="00657A8C" w:rsidRDefault="005135D0" w:rsidP="002721B6">
                            <w:r w:rsidRPr="00657A8C">
                              <w:t>OŽUJAK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73D7" id="Tekstni okvir 6" o:spid="_x0000_s1027" type="#_x0000_t202" style="position:absolute;left:0;text-align:left;margin-left:188.15pt;margin-top:451.1pt;width:96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" filled="f" stroked="f" strokeweight=".5pt">
                <v:textbox>
                  <w:txbxContent>
                    <w:p w14:paraId="52A0EFAD" w14:textId="77777777" w:rsidR="005135D0" w:rsidRPr="00657A8C" w:rsidRDefault="005135D0" w:rsidP="002721B6">
                      <w:r w:rsidRPr="00657A8C">
                        <w:t>OŽUJAK 2022.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="Arial" w:eastAsia="Times New Roman" w:hAnsi="Arial" w:cs="Arial"/>
          <w:b/>
          <w:bCs/>
          <w:color w:val="auto"/>
          <w:sz w:val="22"/>
          <w:szCs w:val="22"/>
          <w:lang w:val="hr-HR" w:eastAsia="en-AU"/>
        </w:rPr>
        <w:id w:val="1006165242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09BEA4EA" w14:textId="77777777" w:rsidR="007862AA" w:rsidRPr="00044742" w:rsidRDefault="007862AA" w:rsidP="00001FEA">
          <w:pPr>
            <w:pStyle w:val="TOCNaslov"/>
            <w:jc w:val="center"/>
            <w:rPr>
              <w:rFonts w:ascii="Arial" w:hAnsi="Arial" w:cs="Arial"/>
              <w:b/>
              <w:bCs/>
              <w:color w:val="auto"/>
              <w:lang w:val="hr-HR"/>
            </w:rPr>
          </w:pPr>
          <w:r w:rsidRPr="00044742">
            <w:rPr>
              <w:rFonts w:ascii="Arial" w:hAnsi="Arial" w:cs="Arial"/>
              <w:b/>
              <w:bCs/>
              <w:color w:val="auto"/>
              <w:lang w:val="hr-HR"/>
            </w:rPr>
            <w:t>SADRŽAJ</w:t>
          </w:r>
        </w:p>
        <w:p w14:paraId="4B864D36" w14:textId="78781DD7" w:rsidR="00AF7C7C" w:rsidRPr="00AF7C7C" w:rsidRDefault="007862AA">
          <w:pPr>
            <w:pStyle w:val="Sadraj1"/>
            <w:tabs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r w:rsidRPr="00AF7C7C">
            <w:fldChar w:fldCharType="begin"/>
          </w:r>
          <w:r w:rsidRPr="00AF7C7C">
            <w:instrText xml:space="preserve"> TOC \o "1-3" \h \z \u </w:instrText>
          </w:r>
          <w:r w:rsidRPr="00AF7C7C">
            <w:fldChar w:fldCharType="separate"/>
          </w:r>
          <w:hyperlink w:anchor="_Toc122335611" w:history="1">
            <w:r w:rsidR="00AF7C7C" w:rsidRPr="00AF7C7C">
              <w:rPr>
                <w:rStyle w:val="Hiperveza"/>
                <w:noProof/>
              </w:rPr>
              <w:t>Popis tablica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_Toc122335611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III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7A4CF731" w14:textId="6A56CFF2" w:rsidR="00AF7C7C" w:rsidRPr="00AF7C7C" w:rsidRDefault="00000000">
          <w:pPr>
            <w:pStyle w:val="Sadraj1"/>
            <w:tabs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12" w:history="1">
            <w:r w:rsidR="00AF7C7C" w:rsidRPr="00AF7C7C">
              <w:rPr>
                <w:rStyle w:val="Hiperveza"/>
                <w:noProof/>
              </w:rPr>
              <w:t>Popis kratica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_Toc122335612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IV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75B40630" w14:textId="61F58CF4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13" w:history="1">
            <w:r w:rsidR="00AF7C7C" w:rsidRPr="00AF7C7C">
              <w:rPr>
                <w:rStyle w:val="Hiperveza"/>
                <w:rFonts w:cs="Arial"/>
                <w:noProof/>
              </w:rPr>
              <w:t>1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rFonts w:cs="Arial"/>
                <w:noProof/>
              </w:rPr>
              <w:t>Uvod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_Toc122335613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1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165E5527" w14:textId="0293C6DE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14" w:history="1">
            <w:r w:rsidR="00AF7C7C" w:rsidRPr="00AF7C7C">
              <w:rPr>
                <w:rStyle w:val="Hiperveza"/>
                <w:i w:val="0"/>
              </w:rPr>
              <w:t>1.1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Svrha i opravdanost izrade akta strateškog planiranja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_Toc122335614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1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3BF57A6E" w14:textId="42C04D3B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15" w:history="1">
            <w:r w:rsidR="00AF7C7C" w:rsidRPr="00AF7C7C">
              <w:rPr>
                <w:rStyle w:val="Hiperveza"/>
                <w:i w:val="0"/>
              </w:rPr>
              <w:t>1.2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Poveznica s razvojnim smjerom i strateškim ciljevima NRS-a 2030. i strateškim ciljevima Strategije prometnog razvoja Republike Hrvatske za razdoblje od 2017. do 2030. godine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_Toc122335615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1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5366AFD1" w14:textId="217B3D63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16" w:history="1">
            <w:r w:rsidR="00AF7C7C" w:rsidRPr="00AF7C7C">
              <w:rPr>
                <w:rStyle w:val="Hiperveza"/>
                <w:i w:val="0"/>
              </w:rPr>
              <w:t>1.3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Postupak izrade Nacionalnog plana i uključenost glavnih dionika u postupak izrade</w:t>
            </w:r>
            <w:r w:rsidR="00AF7C7C" w:rsidRPr="00AF7C7C">
              <w:rPr>
                <w:i w:val="0"/>
                <w:webHidden/>
              </w:rPr>
              <w:tab/>
            </w:r>
            <w:r w:rsid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_Toc122335616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2573C74F" w14:textId="122000A4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17" w:history="1">
            <w:r w:rsidR="00AF7C7C" w:rsidRPr="00AF7C7C">
              <w:rPr>
                <w:rStyle w:val="Hiperveza"/>
                <w:i w:val="0"/>
              </w:rPr>
              <w:t>1.4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Iskustva stečena ranije provedenim procesima strateškog planiranja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_Toc122335617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65B1E821" w14:textId="792DA029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18" w:history="1">
            <w:r w:rsidR="00AF7C7C" w:rsidRPr="00AF7C7C">
              <w:rPr>
                <w:rStyle w:val="Hiperveza"/>
                <w:i w:val="0"/>
              </w:rPr>
              <w:t>1.5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Sadržaj Nacionalnog plana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_Toc122335618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4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7523304C" w14:textId="0426BAF8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19" w:history="1">
            <w:r w:rsidR="00AF7C7C" w:rsidRPr="00AF7C7C">
              <w:rPr>
                <w:rStyle w:val="Hiperveza"/>
                <w:noProof/>
              </w:rPr>
              <w:t>2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Analiza stanja sustava upravljanja željezničkom infrastrukturom i pružanja usluga željezničkog prijevoza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_Toc122335619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5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6200CC8B" w14:textId="511CC73D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0" w:history="1">
            <w:r w:rsidR="00AF7C7C" w:rsidRPr="00AF7C7C">
              <w:rPr>
                <w:rStyle w:val="Hiperveza"/>
                <w:i w:val="0"/>
              </w:rPr>
              <w:t>2.1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Upravljanje javnim željezničkim društvima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_Toc122335620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5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53B3D0EE" w14:textId="69700506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1" w:history="1">
            <w:r w:rsidR="00AF7C7C" w:rsidRPr="00AF7C7C">
              <w:rPr>
                <w:rStyle w:val="Hiperveza"/>
                <w:i w:val="0"/>
              </w:rPr>
              <w:t>2.2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Usluga putničkog prijevoza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_Toc122335621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6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34630B89" w14:textId="3660757E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2" w:history="1">
            <w:r w:rsidR="00AF7C7C" w:rsidRPr="00AF7C7C">
              <w:rPr>
                <w:rStyle w:val="Hiperveza"/>
                <w:i w:val="0"/>
              </w:rPr>
              <w:t>2.3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Usluga teretnog prijevoza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_Toc122335622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7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56BE4EC6" w14:textId="59C8294D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23" w:history="1">
            <w:r w:rsidR="00AF7C7C" w:rsidRPr="00AF7C7C">
              <w:rPr>
                <w:rStyle w:val="Hiperveza"/>
                <w:noProof/>
              </w:rPr>
              <w:t>3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Srednjoročna vizija razvoja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_Toc122335623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10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5DE0F11F" w14:textId="43D98CCA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24" w:history="1">
            <w:r w:rsidR="00AF7C7C" w:rsidRPr="00AF7C7C">
              <w:rPr>
                <w:rStyle w:val="Hiperveza"/>
                <w:noProof/>
              </w:rPr>
              <w:t>4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Srednjoročne razvojne potrebe i razvojni potencijali željezničkog sustava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_Toc122335624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11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198F2162" w14:textId="76E8FD80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25" w:history="1">
            <w:r w:rsidR="00AF7C7C" w:rsidRPr="00AF7C7C">
              <w:rPr>
                <w:rStyle w:val="Hiperveza"/>
                <w:noProof/>
              </w:rPr>
              <w:t>5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Prioriteti javne politike u srednjoročnom razdoblju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_Toc122335625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13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23006E64" w14:textId="32FA8E52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26" w:history="1">
            <w:r w:rsidR="00AF7C7C" w:rsidRPr="00AF7C7C">
              <w:rPr>
                <w:rStyle w:val="Hiperveza"/>
                <w:noProof/>
              </w:rPr>
              <w:t>6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Posebni ciljevi i ključni pokazatelji ishoda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_Toc122335626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15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6297B83C" w14:textId="7888B99F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7" w:history="1">
            <w:r w:rsidR="00AF7C7C" w:rsidRPr="00AF7C7C">
              <w:rPr>
                <w:rStyle w:val="Hiperveza"/>
                <w:i w:val="0"/>
              </w:rPr>
              <w:t>6.1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Posebni ciljevi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_Toc122335627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15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7183C1B1" w14:textId="44A8AD62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8" w:history="1">
            <w:r w:rsidR="00AF7C7C" w:rsidRPr="00AF7C7C">
              <w:rPr>
                <w:rStyle w:val="Hiperveza"/>
                <w:i w:val="0"/>
              </w:rPr>
              <w:t>6.2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Popis pokazatelja ishoda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_Toc122335628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17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66AA92B8" w14:textId="14545107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29" w:history="1">
            <w:r w:rsidR="00AF7C7C" w:rsidRPr="00AF7C7C">
              <w:rPr>
                <w:rStyle w:val="Hiperveza"/>
                <w:i w:val="0"/>
              </w:rPr>
              <w:t>6.3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Mjere provedbe posebnih ciljeva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_Toc122335629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19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38CB7A94" w14:textId="521FE49F" w:rsidR="00AF7C7C" w:rsidRPr="00AF7C7C" w:rsidRDefault="00000000">
          <w:pPr>
            <w:pStyle w:val="Sadraj3"/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0" w:history="1">
            <w:r w:rsidR="00AF7C7C" w:rsidRPr="00AF7C7C">
              <w:rPr>
                <w:rStyle w:val="Hiperveza"/>
                <w:noProof/>
              </w:rPr>
              <w:t>6.3.1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Mjere za provedbu PC 1. Poboljšanje održivosti upravljanja željezničkim sustavom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_Toc122335630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20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712A6285" w14:textId="0FC568B8" w:rsidR="00AF7C7C" w:rsidRPr="00AF7C7C" w:rsidRDefault="00000000">
          <w:pPr>
            <w:pStyle w:val="Sadraj3"/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1" w:history="1">
            <w:r w:rsidR="00AF7C7C" w:rsidRPr="00AF7C7C">
              <w:rPr>
                <w:rStyle w:val="Hiperveza"/>
                <w:noProof/>
              </w:rPr>
              <w:t>6.3.2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Mjere za provedbu PC2. Unaprjeđenje usluga u željezničkom prijevozu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_Toc122335631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23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02127198" w14:textId="5727F1F7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2" w:history="1">
            <w:r w:rsidR="00AF7C7C" w:rsidRPr="00AF7C7C">
              <w:rPr>
                <w:rStyle w:val="Hiperveza"/>
                <w:noProof/>
              </w:rPr>
              <w:t>7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Indikativni financijski plan s prikazom financijskih pretpostavki za provedbu posebnih ciljeva i projekata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_Toc122335632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28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189C8FA4" w14:textId="03A33DAC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3" w:history="1">
            <w:r w:rsidR="00AF7C7C" w:rsidRPr="00AF7C7C">
              <w:rPr>
                <w:rStyle w:val="Hiperveza"/>
                <w:noProof/>
              </w:rPr>
              <w:t>8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Okvir za praćenje i vrednovanje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_Toc122335633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30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493F3BA1" w14:textId="52859B3C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34" w:history="1">
            <w:r w:rsidR="00AF7C7C" w:rsidRPr="00AF7C7C">
              <w:rPr>
                <w:rStyle w:val="Hiperveza"/>
                <w:rFonts w:eastAsiaTheme="minorHAnsi"/>
                <w:i w:val="0"/>
              </w:rPr>
              <w:t>8.1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rFonts w:eastAsiaTheme="minorHAnsi"/>
                <w:i w:val="0"/>
              </w:rPr>
              <w:t>Praćenje i izvješćivanje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_Toc122335634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30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19DF710C" w14:textId="683DD667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35" w:history="1">
            <w:r w:rsidR="00AF7C7C" w:rsidRPr="00AF7C7C">
              <w:rPr>
                <w:rStyle w:val="Hiperveza"/>
                <w:i w:val="0"/>
              </w:rPr>
              <w:t>8.2</w:t>
            </w:r>
            <w:r w:rsidR="00AF7C7C" w:rsidRPr="00AF7C7C">
              <w:rPr>
                <w:rFonts w:asciiTheme="minorHAnsi" w:eastAsiaTheme="minorEastAsia" w:hAnsiTheme="minorHAnsi" w:cstheme="minorBidi"/>
                <w:i w:val="0"/>
                <w:lang w:eastAsia="hr-HR"/>
              </w:rPr>
              <w:tab/>
            </w:r>
            <w:r w:rsidR="00AF7C7C" w:rsidRPr="00AF7C7C">
              <w:rPr>
                <w:rStyle w:val="Hiperveza"/>
                <w:i w:val="0"/>
              </w:rPr>
              <w:t>Vrednovanje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_Toc122335635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30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2C009FDE" w14:textId="19120D2A" w:rsidR="00AF7C7C" w:rsidRPr="00AF7C7C" w:rsidRDefault="00000000">
          <w:pPr>
            <w:pStyle w:val="Sadraj1"/>
            <w:tabs>
              <w:tab w:val="left" w:pos="440"/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6" w:history="1">
            <w:r w:rsidR="00AF7C7C" w:rsidRPr="00AF7C7C">
              <w:rPr>
                <w:rStyle w:val="Hiperveza"/>
                <w:noProof/>
              </w:rPr>
              <w:t>9</w:t>
            </w:r>
            <w:r w:rsidR="00AF7C7C" w:rsidRPr="00AF7C7C">
              <w:rPr>
                <w:rFonts w:asciiTheme="minorHAnsi" w:eastAsiaTheme="minorEastAsia" w:hAnsiTheme="minorHAnsi" w:cstheme="minorBidi"/>
                <w:noProof/>
                <w:lang w:eastAsia="hr-HR"/>
              </w:rPr>
              <w:tab/>
            </w:r>
            <w:r w:rsidR="00AF7C7C" w:rsidRPr="00AF7C7C">
              <w:rPr>
                <w:rStyle w:val="Hiperveza"/>
                <w:noProof/>
              </w:rPr>
              <w:t>Osvrt na utjecaj Nacionalnog plana na okoliš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_Toc122335636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32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2F01DE91" w14:textId="027BDC87" w:rsidR="00AF7C7C" w:rsidRPr="00AF7C7C" w:rsidRDefault="00000000">
          <w:pPr>
            <w:pStyle w:val="Sadraj1"/>
            <w:tabs>
              <w:tab w:val="right" w:leader="dot" w:pos="8613"/>
            </w:tabs>
            <w:rPr>
              <w:rFonts w:asciiTheme="minorHAnsi" w:eastAsiaTheme="minorEastAsia" w:hAnsiTheme="minorHAnsi" w:cstheme="minorBidi"/>
              <w:noProof/>
              <w:lang w:eastAsia="hr-HR"/>
            </w:rPr>
          </w:pPr>
          <w:hyperlink w:anchor="_Toc122335637" w:history="1">
            <w:r w:rsidR="00AF7C7C" w:rsidRPr="00AF7C7C">
              <w:rPr>
                <w:rStyle w:val="Hiperveza"/>
                <w:noProof/>
              </w:rPr>
              <w:t>Prilog 1. Akcijski plan za provedbu Nacionalnog plana</w:t>
            </w:r>
            <w:r w:rsidR="00AF7C7C" w:rsidRPr="00AF7C7C">
              <w:rPr>
                <w:noProof/>
                <w:webHidden/>
              </w:rPr>
              <w:tab/>
            </w:r>
            <w:r w:rsidR="00AF7C7C" w:rsidRPr="00AF7C7C">
              <w:rPr>
                <w:noProof/>
                <w:webHidden/>
              </w:rPr>
              <w:fldChar w:fldCharType="begin"/>
            </w:r>
            <w:r w:rsidR="00AF7C7C" w:rsidRPr="00AF7C7C">
              <w:rPr>
                <w:noProof/>
                <w:webHidden/>
              </w:rPr>
              <w:instrText xml:space="preserve"> PAGEREF _Toc122335637 \h </w:instrText>
            </w:r>
            <w:r w:rsidR="00AF7C7C" w:rsidRPr="00AF7C7C">
              <w:rPr>
                <w:noProof/>
                <w:webHidden/>
              </w:rPr>
            </w:r>
            <w:r w:rsidR="00AF7C7C" w:rsidRPr="00AF7C7C">
              <w:rPr>
                <w:noProof/>
                <w:webHidden/>
              </w:rPr>
              <w:fldChar w:fldCharType="separate"/>
            </w:r>
            <w:r w:rsidR="007D4828">
              <w:rPr>
                <w:noProof/>
                <w:webHidden/>
              </w:rPr>
              <w:t>34</w:t>
            </w:r>
            <w:r w:rsidR="00AF7C7C" w:rsidRPr="00AF7C7C">
              <w:rPr>
                <w:noProof/>
                <w:webHidden/>
              </w:rPr>
              <w:fldChar w:fldCharType="end"/>
            </w:r>
          </w:hyperlink>
        </w:p>
        <w:p w14:paraId="75C42F1F" w14:textId="743D137F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38" w:history="1">
            <w:r w:rsidR="00AF7C7C" w:rsidRPr="00AF7C7C">
              <w:rPr>
                <w:rStyle w:val="Hiperveza"/>
                <w:i w:val="0"/>
              </w:rPr>
              <w:t>Posebni cilj(evi)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_Toc122335638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34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0250BF49" w14:textId="2D6B337B" w:rsidR="00AF7C7C" w:rsidRPr="00AF7C7C" w:rsidRDefault="00000000">
          <w:pPr>
            <w:pStyle w:val="Sadraj2"/>
            <w:rPr>
              <w:rFonts w:asciiTheme="minorHAnsi" w:eastAsiaTheme="minorEastAsia" w:hAnsiTheme="minorHAnsi" w:cstheme="minorBidi"/>
              <w:i w:val="0"/>
              <w:lang w:eastAsia="hr-HR"/>
            </w:rPr>
          </w:pPr>
          <w:hyperlink w:anchor="_Toc122335639" w:history="1">
            <w:r w:rsidR="00AF7C7C" w:rsidRPr="00AF7C7C">
              <w:rPr>
                <w:rStyle w:val="Hiperveza"/>
                <w:i w:val="0"/>
              </w:rPr>
              <w:t>Mjere, projekti i aktivnosti za provedbu posebnih ciljeva</w:t>
            </w:r>
            <w:r w:rsidR="00AF7C7C" w:rsidRPr="00AF7C7C">
              <w:rPr>
                <w:i w:val="0"/>
                <w:webHidden/>
              </w:rPr>
              <w:tab/>
            </w:r>
            <w:r w:rsidR="00AF7C7C" w:rsidRPr="00AF7C7C">
              <w:rPr>
                <w:i w:val="0"/>
                <w:webHidden/>
              </w:rPr>
              <w:fldChar w:fldCharType="begin"/>
            </w:r>
            <w:r w:rsidR="00AF7C7C" w:rsidRPr="00AF7C7C">
              <w:rPr>
                <w:i w:val="0"/>
                <w:webHidden/>
              </w:rPr>
              <w:instrText xml:space="preserve"> PAGEREF _Toc122335639 \h </w:instrText>
            </w:r>
            <w:r w:rsidR="00AF7C7C" w:rsidRPr="00AF7C7C">
              <w:rPr>
                <w:i w:val="0"/>
                <w:webHidden/>
              </w:rPr>
            </w:r>
            <w:r w:rsidR="00AF7C7C" w:rsidRPr="00AF7C7C">
              <w:rPr>
                <w:i w:val="0"/>
                <w:webHidden/>
              </w:rPr>
              <w:fldChar w:fldCharType="separate"/>
            </w:r>
            <w:r w:rsidR="007D4828">
              <w:rPr>
                <w:i w:val="0"/>
                <w:webHidden/>
              </w:rPr>
              <w:t>34</w:t>
            </w:r>
            <w:r w:rsidR="00AF7C7C" w:rsidRPr="00AF7C7C">
              <w:rPr>
                <w:i w:val="0"/>
                <w:webHidden/>
              </w:rPr>
              <w:fldChar w:fldCharType="end"/>
            </w:r>
          </w:hyperlink>
        </w:p>
        <w:p w14:paraId="588CF2C1" w14:textId="6EC71348" w:rsidR="007862AA" w:rsidRPr="00044742" w:rsidRDefault="007862AA" w:rsidP="00001FEA">
          <w:r w:rsidRPr="00AF7C7C">
            <w:fldChar w:fldCharType="end"/>
          </w:r>
        </w:p>
      </w:sdtContent>
    </w:sdt>
    <w:p w14:paraId="3249C502" w14:textId="77777777" w:rsidR="00CD0771" w:rsidRPr="006335BA" w:rsidRDefault="00CD0771" w:rsidP="00001FEA">
      <w:pPr>
        <w:pStyle w:val="Naslov1"/>
        <w:numPr>
          <w:ilvl w:val="0"/>
          <w:numId w:val="0"/>
        </w:numPr>
        <w:rPr>
          <w:color w:val="auto"/>
        </w:rPr>
      </w:pPr>
      <w:bookmarkStart w:id="0" w:name="_Toc122335611"/>
      <w:r w:rsidRPr="006335BA">
        <w:rPr>
          <w:color w:val="auto"/>
        </w:rPr>
        <w:lastRenderedPageBreak/>
        <w:t>Popis tablica</w:t>
      </w:r>
      <w:bookmarkEnd w:id="0"/>
    </w:p>
    <w:p w14:paraId="5929BAA8" w14:textId="75F38618" w:rsidR="007D4828" w:rsidRDefault="00CD0771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044742">
        <w:rPr>
          <w:rFonts w:cs="Arial"/>
        </w:rPr>
        <w:fldChar w:fldCharType="begin"/>
      </w:r>
      <w:r w:rsidRPr="00044742">
        <w:rPr>
          <w:rFonts w:cs="Arial"/>
        </w:rPr>
        <w:instrText xml:space="preserve"> TOC \h \z \c "Tablica" </w:instrText>
      </w:r>
      <w:r w:rsidRPr="00044742">
        <w:rPr>
          <w:rFonts w:cs="Arial"/>
        </w:rPr>
        <w:fldChar w:fldCharType="separate"/>
      </w:r>
      <w:hyperlink w:anchor="_Toc122536065" w:history="1">
        <w:r w:rsidR="007D4828" w:rsidRPr="001E724C">
          <w:rPr>
            <w:rStyle w:val="Hiperveza"/>
            <w:noProof/>
          </w:rPr>
          <w:t>Tablica 1: Srednjoročne razvojne potrebe i razvojni potencijali željezničkog sustava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_Toc122536065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11</w:t>
        </w:r>
        <w:r w:rsidR="007D4828">
          <w:rPr>
            <w:noProof/>
            <w:webHidden/>
          </w:rPr>
          <w:fldChar w:fldCharType="end"/>
        </w:r>
      </w:hyperlink>
    </w:p>
    <w:p w14:paraId="30EAA157" w14:textId="77EBF7F3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66" w:history="1">
        <w:r w:rsidR="007D4828" w:rsidRPr="001E724C">
          <w:rPr>
            <w:rStyle w:val="Hiperveza"/>
            <w:noProof/>
          </w:rPr>
          <w:t>Tablica 2: Prioriteti javne politike u srednjoročnom razdoblju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_Toc122536066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13</w:t>
        </w:r>
        <w:r w:rsidR="007D4828">
          <w:rPr>
            <w:noProof/>
            <w:webHidden/>
          </w:rPr>
          <w:fldChar w:fldCharType="end"/>
        </w:r>
      </w:hyperlink>
    </w:p>
    <w:p w14:paraId="343C4612" w14:textId="5B725C89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67" w:history="1">
        <w:r w:rsidR="007D4828" w:rsidRPr="001E724C">
          <w:rPr>
            <w:rStyle w:val="Hiperveza"/>
            <w:noProof/>
          </w:rPr>
          <w:t>Tablica 3: Posebni ciljevi i ključni pokazatelji ishoda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_Toc122536067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17</w:t>
        </w:r>
        <w:r w:rsidR="007D4828">
          <w:rPr>
            <w:noProof/>
            <w:webHidden/>
          </w:rPr>
          <w:fldChar w:fldCharType="end"/>
        </w:r>
      </w:hyperlink>
    </w:p>
    <w:p w14:paraId="0758F49D" w14:textId="0CE6936C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68" w:history="1">
        <w:r w:rsidR="007D4828" w:rsidRPr="001E724C">
          <w:rPr>
            <w:rStyle w:val="Hiperveza"/>
            <w:noProof/>
          </w:rPr>
          <w:t>Tablica 4: Ciljne vrijednosti pokazatelj ishoda po godinama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_Toc122536068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18</w:t>
        </w:r>
        <w:r w:rsidR="007D4828">
          <w:rPr>
            <w:noProof/>
            <w:webHidden/>
          </w:rPr>
          <w:fldChar w:fldCharType="end"/>
        </w:r>
      </w:hyperlink>
    </w:p>
    <w:p w14:paraId="7AACD6DD" w14:textId="2CB58D0C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69" w:history="1">
        <w:r w:rsidR="007D4828" w:rsidRPr="001E724C">
          <w:rPr>
            <w:rStyle w:val="Hiperveza"/>
            <w:noProof/>
          </w:rPr>
          <w:t>Tablica 5: Mjere za provedbu posebnih ciljeva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_Toc122536069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19</w:t>
        </w:r>
        <w:r w:rsidR="007D4828">
          <w:rPr>
            <w:noProof/>
            <w:webHidden/>
          </w:rPr>
          <w:fldChar w:fldCharType="end"/>
        </w:r>
      </w:hyperlink>
    </w:p>
    <w:p w14:paraId="53BBE674" w14:textId="52EE9132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70" w:history="1">
        <w:r w:rsidR="007D4828" w:rsidRPr="001E724C">
          <w:rPr>
            <w:rStyle w:val="Hiperveza"/>
            <w:noProof/>
          </w:rPr>
          <w:t>Tablica 6: Planirani izvori financiranja (u €)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_Toc122536070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29</w:t>
        </w:r>
        <w:r w:rsidR="007D4828">
          <w:rPr>
            <w:noProof/>
            <w:webHidden/>
          </w:rPr>
          <w:fldChar w:fldCharType="end"/>
        </w:r>
      </w:hyperlink>
    </w:p>
    <w:p w14:paraId="6A84C7E1" w14:textId="0FA7E3E8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71" w:history="1">
        <w:r w:rsidR="007D4828" w:rsidRPr="001E724C">
          <w:rPr>
            <w:rStyle w:val="Hiperveza"/>
            <w:noProof/>
          </w:rPr>
          <w:t>Tablica 7: Indikativna financijska sredstva za provedbu akcijskog plana (u €)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_Toc122536071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34</w:t>
        </w:r>
        <w:r w:rsidR="007D4828">
          <w:rPr>
            <w:noProof/>
            <w:webHidden/>
          </w:rPr>
          <w:fldChar w:fldCharType="end"/>
        </w:r>
      </w:hyperlink>
    </w:p>
    <w:p w14:paraId="02F4F77B" w14:textId="08DF0D6A" w:rsidR="007D4828" w:rsidRDefault="00000000">
      <w:pPr>
        <w:pStyle w:val="Tablicaslika"/>
        <w:tabs>
          <w:tab w:val="right" w:leader="dot" w:pos="8613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122536072" w:history="1">
        <w:r w:rsidR="007D4828" w:rsidRPr="001E724C">
          <w:rPr>
            <w:rStyle w:val="Hiperveza"/>
            <w:noProof/>
          </w:rPr>
          <w:t>Tablica 8: Akcijski plan za provedbu posebnih ciljeva</w:t>
        </w:r>
        <w:r w:rsidR="007D4828">
          <w:rPr>
            <w:noProof/>
            <w:webHidden/>
          </w:rPr>
          <w:tab/>
        </w:r>
        <w:r w:rsidR="007D4828">
          <w:rPr>
            <w:noProof/>
            <w:webHidden/>
          </w:rPr>
          <w:fldChar w:fldCharType="begin"/>
        </w:r>
        <w:r w:rsidR="007D4828">
          <w:rPr>
            <w:noProof/>
            <w:webHidden/>
          </w:rPr>
          <w:instrText xml:space="preserve"> PAGEREF _Toc122536072 \h </w:instrText>
        </w:r>
        <w:r w:rsidR="007D4828">
          <w:rPr>
            <w:noProof/>
            <w:webHidden/>
          </w:rPr>
        </w:r>
        <w:r w:rsidR="007D4828">
          <w:rPr>
            <w:noProof/>
            <w:webHidden/>
          </w:rPr>
          <w:fldChar w:fldCharType="separate"/>
        </w:r>
        <w:r w:rsidR="007D4828">
          <w:rPr>
            <w:noProof/>
            <w:webHidden/>
          </w:rPr>
          <w:t>35</w:t>
        </w:r>
        <w:r w:rsidR="007D4828">
          <w:rPr>
            <w:noProof/>
            <w:webHidden/>
          </w:rPr>
          <w:fldChar w:fldCharType="end"/>
        </w:r>
      </w:hyperlink>
    </w:p>
    <w:p w14:paraId="61BE9C02" w14:textId="0AC6DD03" w:rsidR="00017730" w:rsidRDefault="00CD0771" w:rsidP="00001FEA">
      <w:pPr>
        <w:pStyle w:val="Tijeloteksta"/>
        <w:jc w:val="both"/>
        <w:rPr>
          <w:rFonts w:cs="Arial"/>
        </w:rPr>
      </w:pPr>
      <w:r w:rsidRPr="00044742">
        <w:rPr>
          <w:rFonts w:cs="Arial"/>
        </w:rPr>
        <w:fldChar w:fldCharType="end"/>
      </w:r>
    </w:p>
    <w:p w14:paraId="6873E2AC" w14:textId="77777777" w:rsidR="006335BA" w:rsidRDefault="006335BA" w:rsidP="00001FEA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40CBDA8B" w14:textId="77777777" w:rsidR="00EF4D4D" w:rsidRPr="006335BA" w:rsidRDefault="00EF4D4D" w:rsidP="00001FEA">
      <w:pPr>
        <w:pStyle w:val="Naslov1"/>
        <w:numPr>
          <w:ilvl w:val="0"/>
          <w:numId w:val="0"/>
        </w:numPr>
        <w:rPr>
          <w:color w:val="auto"/>
        </w:rPr>
      </w:pPr>
      <w:bookmarkStart w:id="1" w:name="_Toc108003218"/>
      <w:bookmarkStart w:id="2" w:name="_Toc122335612"/>
      <w:r w:rsidRPr="006335BA">
        <w:rPr>
          <w:color w:val="auto"/>
        </w:rPr>
        <w:lastRenderedPageBreak/>
        <w:t>Popis kratica</w:t>
      </w:r>
      <w:bookmarkEnd w:id="1"/>
      <w:bookmarkEnd w:id="2"/>
      <w:r w:rsidRPr="006335BA">
        <w:rPr>
          <w:color w:val="auto"/>
        </w:rPr>
        <w:t xml:space="preserve"> </w:t>
      </w:r>
    </w:p>
    <w:p w14:paraId="678BDC36" w14:textId="77777777" w:rsidR="00EF4D4D" w:rsidRPr="004C70A4" w:rsidRDefault="00EF4D4D" w:rsidP="00001FEA"/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2254"/>
        <w:gridCol w:w="6388"/>
      </w:tblGrid>
      <w:tr w:rsidR="00EF4D4D" w:rsidRPr="004C70A4" w14:paraId="5CA89247" w14:textId="77777777" w:rsidTr="00D54275">
        <w:tc>
          <w:tcPr>
            <w:tcW w:w="2254" w:type="dxa"/>
          </w:tcPr>
          <w:p w14:paraId="7B8BFC06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ASŽ </w:t>
            </w:r>
          </w:p>
        </w:tc>
        <w:tc>
          <w:tcPr>
            <w:tcW w:w="6388" w:type="dxa"/>
          </w:tcPr>
          <w:p w14:paraId="44506E69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Agencija za sigurnost željezničkog prometa</w:t>
            </w:r>
          </w:p>
        </w:tc>
      </w:tr>
      <w:tr w:rsidR="00EF4D4D" w:rsidRPr="004C70A4" w14:paraId="1893288F" w14:textId="77777777" w:rsidTr="00D54275">
        <w:tc>
          <w:tcPr>
            <w:tcW w:w="2254" w:type="dxa"/>
          </w:tcPr>
          <w:p w14:paraId="4A00895B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B&amp;R</w:t>
            </w:r>
          </w:p>
        </w:tc>
        <w:tc>
          <w:tcPr>
            <w:tcW w:w="6388" w:type="dxa"/>
          </w:tcPr>
          <w:p w14:paraId="11A2408D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074FA7">
              <w:rPr>
                <w:i/>
                <w:sz w:val="20"/>
                <w:szCs w:val="20"/>
              </w:rPr>
              <w:t xml:space="preserve">bike </w:t>
            </w:r>
            <w:proofErr w:type="spellStart"/>
            <w:r w:rsidRPr="00074FA7">
              <w:rPr>
                <w:i/>
                <w:sz w:val="20"/>
                <w:szCs w:val="20"/>
              </w:rPr>
              <w:t>and</w:t>
            </w:r>
            <w:proofErr w:type="spellEnd"/>
            <w:r w:rsidRPr="00074FA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74FA7">
              <w:rPr>
                <w:i/>
                <w:sz w:val="20"/>
                <w:szCs w:val="20"/>
              </w:rPr>
              <w:t>ride</w:t>
            </w:r>
            <w:proofErr w:type="spellEnd"/>
            <w:r w:rsidRPr="004C70A4">
              <w:rPr>
                <w:sz w:val="20"/>
                <w:szCs w:val="20"/>
              </w:rPr>
              <w:t xml:space="preserve"> parkirališta </w:t>
            </w:r>
          </w:p>
        </w:tc>
      </w:tr>
      <w:tr w:rsidR="00EF4D4D" w:rsidRPr="004C70A4" w14:paraId="16C080D5" w14:textId="77777777" w:rsidTr="00D54275">
        <w:tc>
          <w:tcPr>
            <w:tcW w:w="2254" w:type="dxa"/>
          </w:tcPr>
          <w:p w14:paraId="6087A66D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BDP</w:t>
            </w:r>
          </w:p>
        </w:tc>
        <w:tc>
          <w:tcPr>
            <w:tcW w:w="6388" w:type="dxa"/>
          </w:tcPr>
          <w:p w14:paraId="4F089171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bruto domaći proizvod </w:t>
            </w:r>
          </w:p>
        </w:tc>
      </w:tr>
      <w:tr w:rsidR="00EF4D4D" w:rsidRPr="004C70A4" w14:paraId="607B66BB" w14:textId="77777777" w:rsidTr="00D54275">
        <w:tc>
          <w:tcPr>
            <w:tcW w:w="2254" w:type="dxa"/>
          </w:tcPr>
          <w:p w14:paraId="721B2A9E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B</w:t>
            </w:r>
            <w:r w:rsidR="000815A5">
              <w:rPr>
                <w:sz w:val="20"/>
                <w:szCs w:val="20"/>
              </w:rPr>
              <w:t>M</w:t>
            </w:r>
            <w:r w:rsidRPr="004C70A4">
              <w:rPr>
                <w:sz w:val="20"/>
                <w:szCs w:val="20"/>
              </w:rPr>
              <w:t>V</w:t>
            </w:r>
          </w:p>
        </w:tc>
        <w:tc>
          <w:tcPr>
            <w:tcW w:w="6388" w:type="dxa"/>
          </w:tcPr>
          <w:p w14:paraId="173ED4EE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baterijski</w:t>
            </w:r>
            <w:r>
              <w:rPr>
                <w:sz w:val="20"/>
                <w:szCs w:val="20"/>
              </w:rPr>
              <w:t xml:space="preserve"> </w:t>
            </w:r>
            <w:r w:rsidRPr="004C70A4">
              <w:rPr>
                <w:sz w:val="20"/>
                <w:szCs w:val="20"/>
              </w:rPr>
              <w:t xml:space="preserve">motorni vlak </w:t>
            </w:r>
          </w:p>
        </w:tc>
      </w:tr>
      <w:tr w:rsidR="00EF4D4D" w:rsidRPr="004C70A4" w14:paraId="68FDB256" w14:textId="77777777" w:rsidTr="00D54275">
        <w:tc>
          <w:tcPr>
            <w:tcW w:w="2254" w:type="dxa"/>
          </w:tcPr>
          <w:p w14:paraId="7920FD94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DMV</w:t>
            </w:r>
          </w:p>
        </w:tc>
        <w:tc>
          <w:tcPr>
            <w:tcW w:w="6388" w:type="dxa"/>
          </w:tcPr>
          <w:p w14:paraId="01AD1B51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dizel</w:t>
            </w:r>
            <w:r>
              <w:rPr>
                <w:sz w:val="20"/>
                <w:szCs w:val="20"/>
              </w:rPr>
              <w:t xml:space="preserve"> </w:t>
            </w:r>
            <w:r w:rsidRPr="004C70A4">
              <w:rPr>
                <w:sz w:val="20"/>
                <w:szCs w:val="20"/>
              </w:rPr>
              <w:t>motorn</w:t>
            </w:r>
            <w:r>
              <w:rPr>
                <w:sz w:val="20"/>
                <w:szCs w:val="20"/>
              </w:rPr>
              <w:t>i</w:t>
            </w:r>
            <w:r w:rsidRPr="004C7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vlak</w:t>
            </w:r>
          </w:p>
        </w:tc>
      </w:tr>
      <w:tr w:rsidR="00EF4D4D" w:rsidRPr="004C70A4" w14:paraId="45116B11" w14:textId="77777777" w:rsidTr="00D54275">
        <w:tc>
          <w:tcPr>
            <w:tcW w:w="2254" w:type="dxa"/>
          </w:tcPr>
          <w:p w14:paraId="67AF8B1F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t>BEMV</w:t>
            </w:r>
          </w:p>
        </w:tc>
        <w:tc>
          <w:tcPr>
            <w:tcW w:w="6388" w:type="dxa"/>
          </w:tcPr>
          <w:p w14:paraId="54791B19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proofErr w:type="spellStart"/>
            <w:r w:rsidRPr="004C70A4">
              <w:rPr>
                <w:sz w:val="20"/>
                <w:szCs w:val="20"/>
              </w:rPr>
              <w:t>elektrobaterijski</w:t>
            </w:r>
            <w:proofErr w:type="spellEnd"/>
            <w:r w:rsidRPr="004C70A4">
              <w:rPr>
                <w:sz w:val="20"/>
                <w:szCs w:val="20"/>
              </w:rPr>
              <w:t xml:space="preserve"> motorni vlak</w:t>
            </w:r>
          </w:p>
        </w:tc>
      </w:tr>
      <w:tr w:rsidR="00EF4D4D" w:rsidRPr="004C70A4" w14:paraId="0ABDCBBB" w14:textId="77777777" w:rsidTr="00D54275">
        <w:tc>
          <w:tcPr>
            <w:tcW w:w="2254" w:type="dxa"/>
          </w:tcPr>
          <w:p w14:paraId="484554F9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EMV</w:t>
            </w:r>
          </w:p>
        </w:tc>
        <w:tc>
          <w:tcPr>
            <w:tcW w:w="6388" w:type="dxa"/>
          </w:tcPr>
          <w:p w14:paraId="26D9C095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elektromotorni vlak </w:t>
            </w:r>
          </w:p>
        </w:tc>
      </w:tr>
      <w:tr w:rsidR="00EF4D4D" w:rsidRPr="004C70A4" w14:paraId="4DF974C7" w14:textId="77777777" w:rsidTr="00D54275">
        <w:tc>
          <w:tcPr>
            <w:tcW w:w="2254" w:type="dxa"/>
          </w:tcPr>
          <w:p w14:paraId="2E3D6FDE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EU</w:t>
            </w:r>
          </w:p>
        </w:tc>
        <w:tc>
          <w:tcPr>
            <w:tcW w:w="6388" w:type="dxa"/>
          </w:tcPr>
          <w:p w14:paraId="05F97490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Europska unija </w:t>
            </w:r>
          </w:p>
        </w:tc>
      </w:tr>
      <w:tr w:rsidR="00EF4D4D" w:rsidRPr="004C70A4" w14:paraId="1385BEF5" w14:textId="77777777" w:rsidTr="00D54275">
        <w:tc>
          <w:tcPr>
            <w:tcW w:w="2254" w:type="dxa"/>
          </w:tcPr>
          <w:p w14:paraId="7601E688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GPP</w:t>
            </w:r>
          </w:p>
        </w:tc>
        <w:tc>
          <w:tcPr>
            <w:tcW w:w="6388" w:type="dxa"/>
          </w:tcPr>
          <w:p w14:paraId="41F5F35B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gradsko</w:t>
            </w:r>
            <w:r w:rsidR="00EF4D4D" w:rsidRPr="004C70A4">
              <w:rPr>
                <w:sz w:val="20"/>
                <w:szCs w:val="20"/>
              </w:rPr>
              <w:t xml:space="preserve"> – </w:t>
            </w:r>
            <w:r w:rsidRPr="004C70A4">
              <w:rPr>
                <w:sz w:val="20"/>
                <w:szCs w:val="20"/>
              </w:rPr>
              <w:t xml:space="preserve">prigradski prijevoz </w:t>
            </w:r>
          </w:p>
        </w:tc>
      </w:tr>
      <w:tr w:rsidR="00EF4D4D" w:rsidRPr="004C70A4" w14:paraId="1DBB11B6" w14:textId="77777777" w:rsidTr="00D54275">
        <w:tc>
          <w:tcPr>
            <w:tcW w:w="2254" w:type="dxa"/>
          </w:tcPr>
          <w:p w14:paraId="0CFB68C4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HŽI</w:t>
            </w:r>
          </w:p>
        </w:tc>
        <w:tc>
          <w:tcPr>
            <w:tcW w:w="6388" w:type="dxa"/>
          </w:tcPr>
          <w:p w14:paraId="23EEDDAE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HŽ Infrastruktura d.o.o. </w:t>
            </w:r>
          </w:p>
        </w:tc>
      </w:tr>
      <w:tr w:rsidR="002360AD" w:rsidRPr="004C70A4" w14:paraId="16327F84" w14:textId="77777777" w:rsidTr="00D54275">
        <w:tc>
          <w:tcPr>
            <w:tcW w:w="2254" w:type="dxa"/>
          </w:tcPr>
          <w:p w14:paraId="2CA3411E" w14:textId="77777777" w:rsidR="002360AD" w:rsidRPr="004C70A4" w:rsidRDefault="002360AD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HMV</w:t>
            </w:r>
          </w:p>
        </w:tc>
        <w:tc>
          <w:tcPr>
            <w:tcW w:w="6388" w:type="dxa"/>
          </w:tcPr>
          <w:p w14:paraId="0E05F91D" w14:textId="77777777" w:rsidR="002360AD" w:rsidRPr="004C70A4" w:rsidRDefault="00BA5922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motorni vlak na vodik </w:t>
            </w:r>
          </w:p>
        </w:tc>
      </w:tr>
      <w:tr w:rsidR="00EF4D4D" w:rsidRPr="004C70A4" w14:paraId="7176D49A" w14:textId="77777777" w:rsidTr="00D54275">
        <w:tc>
          <w:tcPr>
            <w:tcW w:w="2254" w:type="dxa"/>
          </w:tcPr>
          <w:p w14:paraId="2A52A45A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HŽPP </w:t>
            </w:r>
          </w:p>
        </w:tc>
        <w:tc>
          <w:tcPr>
            <w:tcW w:w="6388" w:type="dxa"/>
          </w:tcPr>
          <w:p w14:paraId="3F77C96B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HŽ Putnički prijevoz d.o.o. </w:t>
            </w:r>
          </w:p>
        </w:tc>
      </w:tr>
      <w:tr w:rsidR="00D03EC9" w:rsidRPr="004C70A4" w14:paraId="2C86EE66" w14:textId="77777777" w:rsidTr="00D54275">
        <w:tc>
          <w:tcPr>
            <w:tcW w:w="2254" w:type="dxa"/>
          </w:tcPr>
          <w:p w14:paraId="76C703C4" w14:textId="77777777" w:rsidR="00D03EC9" w:rsidRPr="004C70A4" w:rsidRDefault="00D03EC9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</w:t>
            </w:r>
          </w:p>
        </w:tc>
        <w:tc>
          <w:tcPr>
            <w:tcW w:w="6388" w:type="dxa"/>
          </w:tcPr>
          <w:p w14:paraId="4BE85EBA" w14:textId="77777777" w:rsidR="00D03EC9" w:rsidRPr="004C70A4" w:rsidRDefault="00BA5922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inteligentni transportni sustav </w:t>
            </w:r>
          </w:p>
        </w:tc>
      </w:tr>
      <w:tr w:rsidR="00EF4D4D" w:rsidRPr="004C70A4" w14:paraId="36834935" w14:textId="77777777" w:rsidTr="00D54275">
        <w:tc>
          <w:tcPr>
            <w:tcW w:w="2254" w:type="dxa"/>
          </w:tcPr>
          <w:p w14:paraId="4F7476F3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JPP</w:t>
            </w:r>
          </w:p>
        </w:tc>
        <w:tc>
          <w:tcPr>
            <w:tcW w:w="6388" w:type="dxa"/>
          </w:tcPr>
          <w:p w14:paraId="42043573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javni prijevoz putnika </w:t>
            </w:r>
          </w:p>
        </w:tc>
      </w:tr>
      <w:tr w:rsidR="00EF4D4D" w:rsidRPr="004C70A4" w14:paraId="00474865" w14:textId="77777777" w:rsidTr="00D54275">
        <w:tc>
          <w:tcPr>
            <w:tcW w:w="2254" w:type="dxa"/>
          </w:tcPr>
          <w:p w14:paraId="659C3438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JLP</w:t>
            </w:r>
            <w:r w:rsidR="00E258B7">
              <w:rPr>
                <w:sz w:val="20"/>
                <w:szCs w:val="20"/>
              </w:rPr>
              <w:t>(R)</w:t>
            </w:r>
            <w:r w:rsidRPr="004C70A4">
              <w:rPr>
                <w:sz w:val="20"/>
                <w:szCs w:val="20"/>
              </w:rPr>
              <w:t>S</w:t>
            </w:r>
          </w:p>
        </w:tc>
        <w:tc>
          <w:tcPr>
            <w:tcW w:w="6388" w:type="dxa"/>
          </w:tcPr>
          <w:p w14:paraId="348C2A80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jedinice lokalne i područne (regionalne) samouprave </w:t>
            </w:r>
          </w:p>
        </w:tc>
      </w:tr>
      <w:tr w:rsidR="00EF4D4D" w:rsidRPr="004C70A4" w14:paraId="0D9A906B" w14:textId="77777777" w:rsidTr="00D54275">
        <w:tc>
          <w:tcPr>
            <w:tcW w:w="2254" w:type="dxa"/>
          </w:tcPr>
          <w:p w14:paraId="49B100A4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MMPI</w:t>
            </w:r>
          </w:p>
        </w:tc>
        <w:tc>
          <w:tcPr>
            <w:tcW w:w="6388" w:type="dxa"/>
          </w:tcPr>
          <w:p w14:paraId="26726507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Ministarstvo mora, prometa i infrastrukture </w:t>
            </w:r>
          </w:p>
        </w:tc>
      </w:tr>
      <w:tr w:rsidR="00EF4D4D" w:rsidRPr="004C70A4" w14:paraId="0B839DA9" w14:textId="77777777" w:rsidTr="00D54275">
        <w:tc>
          <w:tcPr>
            <w:tcW w:w="2254" w:type="dxa"/>
          </w:tcPr>
          <w:p w14:paraId="7DA3084C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NPOO</w:t>
            </w:r>
          </w:p>
        </w:tc>
        <w:tc>
          <w:tcPr>
            <w:tcW w:w="6388" w:type="dxa"/>
          </w:tcPr>
          <w:p w14:paraId="72824AFC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Nacionalni plan oporavka i otpornosti</w:t>
            </w:r>
          </w:p>
        </w:tc>
      </w:tr>
      <w:tr w:rsidR="00EF4D4D" w:rsidRPr="004C70A4" w14:paraId="10920C58" w14:textId="77777777" w:rsidTr="00D54275">
        <w:tc>
          <w:tcPr>
            <w:tcW w:w="2254" w:type="dxa"/>
          </w:tcPr>
          <w:p w14:paraId="53441677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NUTS </w:t>
            </w:r>
          </w:p>
        </w:tc>
        <w:tc>
          <w:tcPr>
            <w:tcW w:w="6388" w:type="dxa"/>
          </w:tcPr>
          <w:p w14:paraId="761EA44D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Nacionalna klasifikacija statističkih regija </w:t>
            </w:r>
          </w:p>
        </w:tc>
      </w:tr>
      <w:tr w:rsidR="00EF4D4D" w:rsidRPr="004C70A4" w14:paraId="2905D41D" w14:textId="77777777" w:rsidTr="00D54275">
        <w:tc>
          <w:tcPr>
            <w:tcW w:w="2254" w:type="dxa"/>
          </w:tcPr>
          <w:p w14:paraId="4DF054E0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OECD </w:t>
            </w:r>
          </w:p>
        </w:tc>
        <w:tc>
          <w:tcPr>
            <w:tcW w:w="6388" w:type="dxa"/>
          </w:tcPr>
          <w:p w14:paraId="17F4E51A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Organizacija za ekonomsku suradnju i razvoj </w:t>
            </w:r>
          </w:p>
        </w:tc>
      </w:tr>
      <w:tr w:rsidR="00EF4D4D" w:rsidRPr="004C70A4" w14:paraId="671928C9" w14:textId="77777777" w:rsidTr="00D54275">
        <w:tc>
          <w:tcPr>
            <w:tcW w:w="2254" w:type="dxa"/>
          </w:tcPr>
          <w:p w14:paraId="5FA722D1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P&amp;R </w:t>
            </w:r>
          </w:p>
        </w:tc>
        <w:tc>
          <w:tcPr>
            <w:tcW w:w="6388" w:type="dxa"/>
          </w:tcPr>
          <w:p w14:paraId="29EF944D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074FA7">
              <w:rPr>
                <w:i/>
                <w:sz w:val="20"/>
                <w:szCs w:val="20"/>
              </w:rPr>
              <w:t xml:space="preserve">park </w:t>
            </w:r>
            <w:proofErr w:type="spellStart"/>
            <w:r w:rsidRPr="00074FA7">
              <w:rPr>
                <w:i/>
                <w:sz w:val="20"/>
                <w:szCs w:val="20"/>
              </w:rPr>
              <w:t>and</w:t>
            </w:r>
            <w:proofErr w:type="spellEnd"/>
            <w:r w:rsidRPr="00074FA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74FA7">
              <w:rPr>
                <w:i/>
                <w:sz w:val="20"/>
                <w:szCs w:val="20"/>
              </w:rPr>
              <w:t>ride</w:t>
            </w:r>
            <w:proofErr w:type="spellEnd"/>
            <w:r w:rsidRPr="004C70A4">
              <w:rPr>
                <w:sz w:val="20"/>
                <w:szCs w:val="20"/>
              </w:rPr>
              <w:t xml:space="preserve"> </w:t>
            </w:r>
            <w:r w:rsidR="00EF4D4D" w:rsidRPr="004C70A4">
              <w:rPr>
                <w:sz w:val="20"/>
                <w:szCs w:val="20"/>
              </w:rPr>
              <w:t xml:space="preserve">parkirališta </w:t>
            </w:r>
          </w:p>
        </w:tc>
      </w:tr>
      <w:tr w:rsidR="00EF4D4D" w:rsidRPr="004C70A4" w14:paraId="3C15954D" w14:textId="77777777" w:rsidTr="00D54275">
        <w:tc>
          <w:tcPr>
            <w:tcW w:w="2254" w:type="dxa"/>
          </w:tcPr>
          <w:p w14:paraId="4B3E868E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PSO</w:t>
            </w:r>
          </w:p>
        </w:tc>
        <w:tc>
          <w:tcPr>
            <w:tcW w:w="6388" w:type="dxa"/>
          </w:tcPr>
          <w:p w14:paraId="38BCBFC4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Ugovor o javnoj usluzi </w:t>
            </w:r>
          </w:p>
        </w:tc>
      </w:tr>
      <w:tr w:rsidR="00EF4D4D" w:rsidRPr="004C70A4" w14:paraId="5CBEAD91" w14:textId="77777777" w:rsidTr="00D54275">
        <w:tc>
          <w:tcPr>
            <w:tcW w:w="2254" w:type="dxa"/>
          </w:tcPr>
          <w:p w14:paraId="230D6F4F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TEN-T</w:t>
            </w:r>
          </w:p>
        </w:tc>
        <w:tc>
          <w:tcPr>
            <w:tcW w:w="6388" w:type="dxa"/>
          </w:tcPr>
          <w:p w14:paraId="5573F65A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transeuropska prometna mreža – promet </w:t>
            </w:r>
          </w:p>
        </w:tc>
      </w:tr>
      <w:tr w:rsidR="006A62ED" w:rsidRPr="004C70A4" w14:paraId="2923A76C" w14:textId="77777777" w:rsidTr="00D54275">
        <w:tc>
          <w:tcPr>
            <w:tcW w:w="2254" w:type="dxa"/>
          </w:tcPr>
          <w:p w14:paraId="1A156979" w14:textId="77777777" w:rsidR="006A62ED" w:rsidRPr="004C70A4" w:rsidRDefault="006A62ED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</w:t>
            </w:r>
          </w:p>
        </w:tc>
        <w:tc>
          <w:tcPr>
            <w:tcW w:w="6388" w:type="dxa"/>
          </w:tcPr>
          <w:p w14:paraId="427BF99C" w14:textId="77777777" w:rsidR="006A62ED" w:rsidRPr="004C70A4" w:rsidRDefault="00BA5922" w:rsidP="0000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upravitelj infrastrukture </w:t>
            </w:r>
          </w:p>
        </w:tc>
      </w:tr>
      <w:tr w:rsidR="00EF4D4D" w:rsidRPr="004C70A4" w14:paraId="6DC52B42" w14:textId="77777777" w:rsidTr="00D54275">
        <w:tc>
          <w:tcPr>
            <w:tcW w:w="2254" w:type="dxa"/>
          </w:tcPr>
          <w:p w14:paraId="57DA943A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ZET</w:t>
            </w:r>
          </w:p>
        </w:tc>
        <w:tc>
          <w:tcPr>
            <w:tcW w:w="6388" w:type="dxa"/>
          </w:tcPr>
          <w:p w14:paraId="77756589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Zagrebački električni tramvaj </w:t>
            </w:r>
          </w:p>
        </w:tc>
      </w:tr>
      <w:tr w:rsidR="00EF4D4D" w:rsidRPr="004C70A4" w14:paraId="553A6B3A" w14:textId="77777777" w:rsidTr="00D54275">
        <w:tc>
          <w:tcPr>
            <w:tcW w:w="2254" w:type="dxa"/>
          </w:tcPr>
          <w:p w14:paraId="401971CC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ŽCP</w:t>
            </w:r>
          </w:p>
        </w:tc>
        <w:tc>
          <w:tcPr>
            <w:tcW w:w="6388" w:type="dxa"/>
          </w:tcPr>
          <w:p w14:paraId="2B2F6B77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>željezničko-cestovni prijelazi</w:t>
            </w:r>
          </w:p>
        </w:tc>
      </w:tr>
      <w:tr w:rsidR="00EF4D4D" w:rsidRPr="004C70A4" w14:paraId="328863AB" w14:textId="77777777" w:rsidTr="00D54275">
        <w:tc>
          <w:tcPr>
            <w:tcW w:w="2254" w:type="dxa"/>
          </w:tcPr>
          <w:p w14:paraId="3D307659" w14:textId="77777777" w:rsidR="00EF4D4D" w:rsidRPr="004C70A4" w:rsidRDefault="00EF4D4D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ŽP </w:t>
            </w:r>
          </w:p>
        </w:tc>
        <w:tc>
          <w:tcPr>
            <w:tcW w:w="6388" w:type="dxa"/>
          </w:tcPr>
          <w:p w14:paraId="07390BDA" w14:textId="77777777" w:rsidR="00EF4D4D" w:rsidRPr="004C70A4" w:rsidRDefault="00BA5922" w:rsidP="00001FEA">
            <w:pPr>
              <w:rPr>
                <w:sz w:val="20"/>
                <w:szCs w:val="20"/>
              </w:rPr>
            </w:pPr>
            <w:r w:rsidRPr="004C70A4">
              <w:rPr>
                <w:sz w:val="20"/>
                <w:szCs w:val="20"/>
              </w:rPr>
              <w:t xml:space="preserve">željeznički prijevoznik </w:t>
            </w:r>
          </w:p>
        </w:tc>
      </w:tr>
    </w:tbl>
    <w:p w14:paraId="356456D0" w14:textId="77777777" w:rsidR="00EF4D4D" w:rsidRPr="004C70A4" w:rsidRDefault="00EF4D4D" w:rsidP="00001FEA"/>
    <w:p w14:paraId="65632C2C" w14:textId="77777777" w:rsidR="00EF4D4D" w:rsidRDefault="00EF4D4D" w:rsidP="00001FEA">
      <w:pPr>
        <w:pStyle w:val="Tijeloteksta"/>
        <w:jc w:val="both"/>
        <w:rPr>
          <w:rFonts w:cs="Arial"/>
        </w:rPr>
        <w:sectPr w:rsidR="00EF4D4D" w:rsidSect="00D5657C">
          <w:headerReference w:type="default" r:id="rId10"/>
          <w:footerReference w:type="first" r:id="rId11"/>
          <w:pgSz w:w="11906" w:h="16838"/>
          <w:pgMar w:top="1440" w:right="1440" w:bottom="851" w:left="1843" w:header="708" w:footer="23" w:gutter="0"/>
          <w:pgNumType w:fmt="upperRoman"/>
          <w:cols w:space="708"/>
          <w:docGrid w:linePitch="360"/>
        </w:sectPr>
      </w:pPr>
    </w:p>
    <w:p w14:paraId="28A2802F" w14:textId="77777777" w:rsidR="00ED0FF2" w:rsidRDefault="0055248E" w:rsidP="00001FEA">
      <w:pPr>
        <w:pStyle w:val="Naslov1"/>
        <w:tabs>
          <w:tab w:val="clear" w:pos="4384"/>
        </w:tabs>
        <w:ind w:left="0" w:firstLine="0"/>
        <w:rPr>
          <w:rFonts w:cs="Arial"/>
        </w:rPr>
      </w:pPr>
      <w:bookmarkStart w:id="3" w:name="_Toc122335613"/>
      <w:r w:rsidRPr="00044742">
        <w:rPr>
          <w:rFonts w:cs="Arial"/>
        </w:rPr>
        <w:lastRenderedPageBreak/>
        <w:t>Uvod</w:t>
      </w:r>
      <w:bookmarkEnd w:id="3"/>
    </w:p>
    <w:p w14:paraId="7D1C49A3" w14:textId="77777777" w:rsidR="00CE0B9E" w:rsidRPr="00CE0B9E" w:rsidRDefault="00CE0B9E" w:rsidP="00001FEA"/>
    <w:p w14:paraId="4141E5C1" w14:textId="77777777" w:rsidR="001C06E8" w:rsidRDefault="001C06E8" w:rsidP="00001FEA">
      <w:pPr>
        <w:pStyle w:val="Naslov2"/>
        <w:ind w:left="0" w:firstLine="0"/>
        <w:rPr>
          <w:lang w:eastAsia="en-US"/>
        </w:rPr>
      </w:pPr>
      <w:bookmarkStart w:id="4" w:name="_Toc122335614"/>
      <w:r>
        <w:rPr>
          <w:lang w:eastAsia="en-US"/>
        </w:rPr>
        <w:t>Svrha</w:t>
      </w:r>
      <w:r w:rsidRPr="002B3423">
        <w:rPr>
          <w:lang w:eastAsia="en-US"/>
        </w:rPr>
        <w:t xml:space="preserve"> i opravdanost izrade akta strateškog planiranja</w:t>
      </w:r>
      <w:bookmarkEnd w:id="4"/>
    </w:p>
    <w:p w14:paraId="1817FA8D" w14:textId="77777777" w:rsidR="00CE0B9E" w:rsidRDefault="00CE0B9E" w:rsidP="00001FEA">
      <w:pPr>
        <w:rPr>
          <w:rFonts w:cs="Arial"/>
        </w:rPr>
      </w:pPr>
    </w:p>
    <w:p w14:paraId="6AF3BA1A" w14:textId="77777777" w:rsidR="008B1DC1" w:rsidRDefault="008B1DC1" w:rsidP="008B1DC1">
      <w:pPr>
        <w:rPr>
          <w:rFonts w:cs="Arial"/>
        </w:rPr>
      </w:pPr>
      <w:r>
        <w:rPr>
          <w:rFonts w:cs="Arial"/>
        </w:rPr>
        <w:t xml:space="preserve">Nacionalni plan </w:t>
      </w:r>
      <w:r w:rsidRPr="007D7307">
        <w:rPr>
          <w:rFonts w:cs="Arial"/>
        </w:rPr>
        <w:t xml:space="preserve">upravljanja željezničkom infrastrukturom i uslužnim objektima i razvoja usluga željezničkog prijevoza </w:t>
      </w:r>
      <w:r>
        <w:rPr>
          <w:rFonts w:cs="Arial"/>
        </w:rPr>
        <w:t xml:space="preserve">za razdoblje </w:t>
      </w:r>
      <w:r w:rsidRPr="007D7307">
        <w:rPr>
          <w:rFonts w:cs="Arial"/>
        </w:rPr>
        <w:t xml:space="preserve">do 2030. godine </w:t>
      </w:r>
      <w:r>
        <w:rPr>
          <w:rFonts w:cs="Arial"/>
        </w:rPr>
        <w:t xml:space="preserve">(dalje u tekstu: </w:t>
      </w:r>
      <w:r w:rsidRPr="001C06E8">
        <w:rPr>
          <w:rFonts w:cs="Arial"/>
        </w:rPr>
        <w:t>Nacionalni plan</w:t>
      </w:r>
      <w:r>
        <w:rPr>
          <w:rFonts w:cs="Arial"/>
        </w:rPr>
        <w:t xml:space="preserve">) akt </w:t>
      </w:r>
      <w:r w:rsidR="00BA5922">
        <w:rPr>
          <w:rFonts w:cs="Arial"/>
        </w:rPr>
        <w:t xml:space="preserve">je </w:t>
      </w:r>
      <w:r w:rsidRPr="00ED551A">
        <w:rPr>
          <w:rFonts w:cs="Arial"/>
        </w:rPr>
        <w:t xml:space="preserve">strateškog planiranja kojim se utvrđuju razvojne potrebe i prioriteti ulaganja u području upravljanja </w:t>
      </w:r>
      <w:r w:rsidR="00EE43C7" w:rsidRPr="00ED551A">
        <w:rPr>
          <w:rFonts w:cs="Arial"/>
        </w:rPr>
        <w:t xml:space="preserve">javnim </w:t>
      </w:r>
      <w:r w:rsidRPr="00ED551A">
        <w:rPr>
          <w:rFonts w:cs="Arial"/>
        </w:rPr>
        <w:t>željezničk</w:t>
      </w:r>
      <w:r w:rsidR="00EE43C7" w:rsidRPr="00ED551A">
        <w:rPr>
          <w:rFonts w:cs="Arial"/>
        </w:rPr>
        <w:t>im društvima,</w:t>
      </w:r>
      <w:r w:rsidRPr="00ED551A">
        <w:rPr>
          <w:rFonts w:cs="Arial"/>
        </w:rPr>
        <w:t xml:space="preserve"> uslužnim objektima, </w:t>
      </w:r>
      <w:r w:rsidR="00EE43C7" w:rsidRPr="00ED551A">
        <w:rPr>
          <w:rFonts w:cs="Arial"/>
        </w:rPr>
        <w:t>te</w:t>
      </w:r>
      <w:r w:rsidRPr="00ED551A">
        <w:rPr>
          <w:rFonts w:cs="Arial"/>
        </w:rPr>
        <w:t xml:space="preserve"> unaprjeđenje usluga željezničkog prijevoza. Boljim upravljanjem i unaprjeđenjem razine usluga željezničkog prijevoza poboljšat će se održivost i konkurentnost željezničkog prometa te povećati broj korisnika usluga, kao i udio </w:t>
      </w:r>
      <w:r>
        <w:rPr>
          <w:rFonts w:cs="Arial"/>
        </w:rPr>
        <w:t xml:space="preserve">željezničkog prijevoza u ukupnom prijevozu. </w:t>
      </w:r>
    </w:p>
    <w:p w14:paraId="23377135" w14:textId="0989CD27" w:rsidR="008B1DC1" w:rsidRPr="004C70A4" w:rsidRDefault="008B1DC1" w:rsidP="008B1DC1">
      <w:bookmarkStart w:id="5" w:name="_Hlk116580698"/>
      <w:r w:rsidRPr="00E37E6F">
        <w:t>Ov</w:t>
      </w:r>
      <w:r>
        <w:t>im</w:t>
      </w:r>
      <w:r w:rsidRPr="00E37E6F">
        <w:t xml:space="preserve"> </w:t>
      </w:r>
      <w:r w:rsidR="000A5C6F">
        <w:t>N</w:t>
      </w:r>
      <w:r w:rsidRPr="00E37E6F">
        <w:t>acionalni</w:t>
      </w:r>
      <w:r>
        <w:t>m</w:t>
      </w:r>
      <w:r w:rsidRPr="00E37E6F">
        <w:t xml:space="preserve"> plan</w:t>
      </w:r>
      <w:r>
        <w:t>om</w:t>
      </w:r>
      <w:r w:rsidRPr="00E37E6F">
        <w:t xml:space="preserve"> nastav</w:t>
      </w:r>
      <w:r>
        <w:t>ljaju se</w:t>
      </w:r>
      <w:r w:rsidRPr="00E37E6F">
        <w:t xml:space="preserve"> napor</w:t>
      </w:r>
      <w:r>
        <w:t>i</w:t>
      </w:r>
      <w:r w:rsidRPr="00E37E6F">
        <w:t xml:space="preserve"> </w:t>
      </w:r>
      <w:r>
        <w:t xml:space="preserve">Vlade Republike Hrvatske </w:t>
      </w:r>
      <w:r w:rsidRPr="00E37E6F">
        <w:t xml:space="preserve">usmjereni na </w:t>
      </w:r>
      <w:r>
        <w:t>unaprjeđenje učinkovitosti željezničkog sustava</w:t>
      </w:r>
      <w:r w:rsidR="00BA5922">
        <w:t>,</w:t>
      </w:r>
      <w:r w:rsidR="007B6C36">
        <w:t xml:space="preserve"> </w:t>
      </w:r>
      <w:r w:rsidR="00184F52">
        <w:t xml:space="preserve">a </w:t>
      </w:r>
      <w:r w:rsidRPr="00E37E6F">
        <w:t>započet</w:t>
      </w:r>
      <w:r>
        <w:t>i</w:t>
      </w:r>
      <w:r w:rsidRPr="00E37E6F">
        <w:t xml:space="preserve"> Nacionalnim programom željezničke infrastrukture </w:t>
      </w:r>
      <w:r>
        <w:t xml:space="preserve">za razdoblje od </w:t>
      </w:r>
      <w:r w:rsidRPr="00E37E6F">
        <w:t xml:space="preserve">2016. </w:t>
      </w:r>
      <w:r>
        <w:t>do</w:t>
      </w:r>
      <w:r w:rsidRPr="00E37E6F">
        <w:t xml:space="preserve"> 2020.</w:t>
      </w:r>
      <w:r>
        <w:t xml:space="preserve"> godine.</w:t>
      </w:r>
      <w:bookmarkEnd w:id="5"/>
      <w:r w:rsidRPr="00E37E6F">
        <w:t xml:space="preserve"> Pravna osnova za izradu Nacionalnog plana je</w:t>
      </w:r>
      <w:r w:rsidR="00BA5922">
        <w:t>st</w:t>
      </w:r>
      <w:r w:rsidRPr="00E37E6F">
        <w:t xml:space="preserve"> Zakon o željeznici, čl</w:t>
      </w:r>
      <w:r w:rsidR="00A92C5A">
        <w:t>anak</w:t>
      </w:r>
      <w:r w:rsidRPr="00E37E6F">
        <w:t xml:space="preserve"> 17. st</w:t>
      </w:r>
      <w:r w:rsidR="00A92C5A">
        <w:t>avak</w:t>
      </w:r>
      <w:r w:rsidRPr="00E37E6F">
        <w:t xml:space="preserve"> 6. (NN 32/19, 20/21), a izrađen je sa svrhom razrade plana provedbe Strategije prometnog razv</w:t>
      </w:r>
      <w:r w:rsidR="00600A56">
        <w:t>oja</w:t>
      </w:r>
      <w:r w:rsidRPr="00E37E6F">
        <w:t xml:space="preserve"> </w:t>
      </w:r>
      <w:r w:rsidR="00AF7C7C" w:rsidRPr="00AF7C7C">
        <w:t>Republike Hrvatske za razdoblje od 2017. do 2030. godine</w:t>
      </w:r>
      <w:r w:rsidRPr="00E37E6F">
        <w:t xml:space="preserve"> i Strategije razvoja željezničkog sustava do 2032. godine.</w:t>
      </w:r>
    </w:p>
    <w:p w14:paraId="20FEB82D" w14:textId="77777777" w:rsidR="008B1DC1" w:rsidRPr="006E30EF" w:rsidRDefault="008B1DC1" w:rsidP="008B1DC1">
      <w:r w:rsidRPr="00F51F16">
        <w:t>Nacionalni plan izrađen je sukladno metodologiji strateškog planiranja propisanoj Zakonom o sustavu strateškog planiranja i upravljanja razvojem Republike Hrvatske</w:t>
      </w:r>
      <w:r w:rsidR="00184F52">
        <w:t xml:space="preserve"> </w:t>
      </w:r>
      <w:r w:rsidRPr="00F51F16">
        <w:t xml:space="preserve">(NN 123/17) i Uredbom o smjernicama za izradu akata strateškog planiranja od nacionalnog značaja i od značaja za jedinice lokalne i područne (regionalne) samouprave (NN 89/18). Nacionalni plan sadrži srednjoročnu viziju razvoja </w:t>
      </w:r>
      <w:r>
        <w:t xml:space="preserve">upravljanja </w:t>
      </w:r>
      <w:r w:rsidRPr="00F51F16">
        <w:t>željezničk</w:t>
      </w:r>
      <w:r>
        <w:t>om</w:t>
      </w:r>
      <w:r w:rsidRPr="00F51F16">
        <w:t xml:space="preserve"> infrastruktur</w:t>
      </w:r>
      <w:r>
        <w:t>om i uslužnim objektima te razvoja usluga željezničkog prijevoza</w:t>
      </w:r>
      <w:r w:rsidRPr="00F51F16">
        <w:t xml:space="preserve">, posebne ciljeve usklađene sa strateškim ciljevima Nacionalne razvojne strategije Republike Hrvatske do 2030. godine (dalje u tekstu: NRS 2030.), srednjoročne razvojne prioritete prema kojima su </w:t>
      </w:r>
      <w:r>
        <w:t>utvrđene</w:t>
      </w:r>
      <w:r w:rsidRPr="00F51F16">
        <w:t xml:space="preserve"> mjere za provedbu posebnih ciljeva tijekom razdoblja važenja Nacionalnog plana</w:t>
      </w:r>
      <w:r>
        <w:t>.</w:t>
      </w:r>
      <w:r w:rsidRPr="00F51F16">
        <w:t xml:space="preserve"> </w:t>
      </w:r>
      <w:r>
        <w:t>Kako bi se osiguralo učinkovito i transparentno mjerenje uspješnosti u provedbi Nacionalnog plana, za</w:t>
      </w:r>
      <w:r w:rsidRPr="00F51F16">
        <w:t xml:space="preserve"> </w:t>
      </w:r>
      <w:r>
        <w:t>s</w:t>
      </w:r>
      <w:r w:rsidRPr="00F51F16">
        <w:t>vaki</w:t>
      </w:r>
      <w:r>
        <w:t xml:space="preserve"> su</w:t>
      </w:r>
      <w:r w:rsidRPr="00F51F16">
        <w:t xml:space="preserve"> posebni cilj</w:t>
      </w:r>
      <w:r>
        <w:t xml:space="preserve"> odabrani odgovarajući pokazatelji ishoda</w:t>
      </w:r>
      <w:r w:rsidRPr="00F51F16">
        <w:t xml:space="preserve">. Navedeni elementi čine </w:t>
      </w:r>
      <w:r>
        <w:t xml:space="preserve">cjeloviti </w:t>
      </w:r>
      <w:r w:rsidRPr="00F51F16">
        <w:t xml:space="preserve">strateški okvir Nacionalnog plana. </w:t>
      </w:r>
    </w:p>
    <w:p w14:paraId="66EC597B" w14:textId="282D1C9B" w:rsidR="001C06E8" w:rsidRDefault="008B1DC1" w:rsidP="008B1DC1">
      <w:pPr>
        <w:spacing w:after="0"/>
        <w:rPr>
          <w:lang w:eastAsia="en-US"/>
        </w:rPr>
      </w:pPr>
      <w:r w:rsidRPr="00F51F16">
        <w:rPr>
          <w:lang w:eastAsia="en-US"/>
        </w:rPr>
        <w:t xml:space="preserve">Nacionalnim planom utvrđen </w:t>
      </w:r>
      <w:r w:rsidR="003302B5">
        <w:rPr>
          <w:lang w:eastAsia="en-US"/>
        </w:rPr>
        <w:t xml:space="preserve">je </w:t>
      </w:r>
      <w:r w:rsidRPr="00F51F16">
        <w:rPr>
          <w:lang w:eastAsia="en-US"/>
        </w:rPr>
        <w:t xml:space="preserve">i provedbeni okvir koji se sastoji od institucionalnog okvira za provedbu, praćenje i vrednovanje provedbe te Akcijskog plana za provedbu Nacionalnog plana. Akcijski plan sadrži detaljnu razradu mjera </w:t>
      </w:r>
      <w:r>
        <w:rPr>
          <w:lang w:eastAsia="en-US"/>
        </w:rPr>
        <w:t>utvrđenih za</w:t>
      </w:r>
      <w:r w:rsidRPr="00F51F16">
        <w:rPr>
          <w:lang w:eastAsia="en-US"/>
        </w:rPr>
        <w:t xml:space="preserve"> ostvarenj</w:t>
      </w:r>
      <w:r>
        <w:rPr>
          <w:lang w:eastAsia="en-US"/>
        </w:rPr>
        <w:t>e</w:t>
      </w:r>
      <w:r w:rsidRPr="00F51F16">
        <w:rPr>
          <w:lang w:eastAsia="en-US"/>
        </w:rPr>
        <w:t xml:space="preserve"> posebnih ciljeva Nacionalnog plana. Za svaku </w:t>
      </w:r>
      <w:r>
        <w:rPr>
          <w:lang w:eastAsia="en-US"/>
        </w:rPr>
        <w:t xml:space="preserve">su </w:t>
      </w:r>
      <w:r w:rsidRPr="00F51F16">
        <w:rPr>
          <w:lang w:eastAsia="en-US"/>
        </w:rPr>
        <w:t xml:space="preserve">mjeru </w:t>
      </w:r>
      <w:r>
        <w:rPr>
          <w:lang w:eastAsia="en-US"/>
        </w:rPr>
        <w:t xml:space="preserve">u Akcijskom planu </w:t>
      </w:r>
      <w:r w:rsidRPr="00F51F16">
        <w:rPr>
          <w:lang w:eastAsia="en-US"/>
        </w:rPr>
        <w:t>utvrđeni nositelji i rok provedbe, pokazatelji rezultata za praćenje napretka u provedbi</w:t>
      </w:r>
      <w:r>
        <w:rPr>
          <w:lang w:eastAsia="en-US"/>
        </w:rPr>
        <w:t xml:space="preserve"> pojedine mjere zajedno s</w:t>
      </w:r>
      <w:r w:rsidRPr="00F51F16">
        <w:rPr>
          <w:lang w:eastAsia="en-US"/>
        </w:rPr>
        <w:t xml:space="preserve"> procijenjen</w:t>
      </w:r>
      <w:r>
        <w:rPr>
          <w:lang w:eastAsia="en-US"/>
        </w:rPr>
        <w:t>im</w:t>
      </w:r>
      <w:r w:rsidRPr="00F51F16">
        <w:rPr>
          <w:lang w:eastAsia="en-US"/>
        </w:rPr>
        <w:t xml:space="preserve"> sredstv</w:t>
      </w:r>
      <w:r>
        <w:rPr>
          <w:lang w:eastAsia="en-US"/>
        </w:rPr>
        <w:t>ima</w:t>
      </w:r>
      <w:r w:rsidRPr="00F51F16">
        <w:rPr>
          <w:lang w:eastAsia="en-US"/>
        </w:rPr>
        <w:t xml:space="preserve"> za provedbu </w:t>
      </w:r>
      <w:r>
        <w:rPr>
          <w:lang w:eastAsia="en-US"/>
        </w:rPr>
        <w:t>i</w:t>
      </w:r>
      <w:r w:rsidRPr="00F51F16">
        <w:rPr>
          <w:lang w:eastAsia="en-US"/>
        </w:rPr>
        <w:t xml:space="preserve"> poveznicom </w:t>
      </w:r>
      <w:r>
        <w:rPr>
          <w:lang w:eastAsia="en-US"/>
        </w:rPr>
        <w:t>s</w:t>
      </w:r>
      <w:r w:rsidRPr="00F51F16">
        <w:rPr>
          <w:lang w:eastAsia="en-US"/>
        </w:rPr>
        <w:t xml:space="preserve"> programsk</w:t>
      </w:r>
      <w:r>
        <w:rPr>
          <w:lang w:eastAsia="en-US"/>
        </w:rPr>
        <w:t>om</w:t>
      </w:r>
      <w:r w:rsidRPr="00F51F16">
        <w:rPr>
          <w:lang w:eastAsia="en-US"/>
        </w:rPr>
        <w:t xml:space="preserve"> klasifikacij</w:t>
      </w:r>
      <w:r>
        <w:rPr>
          <w:lang w:eastAsia="en-US"/>
        </w:rPr>
        <w:t>om</w:t>
      </w:r>
      <w:r w:rsidRPr="00F51F16">
        <w:rPr>
          <w:lang w:eastAsia="en-US"/>
        </w:rPr>
        <w:t xml:space="preserve"> proračuna</w:t>
      </w:r>
      <w:r>
        <w:rPr>
          <w:lang w:eastAsia="en-US"/>
        </w:rPr>
        <w:t>,</w:t>
      </w:r>
      <w:r w:rsidRPr="00F51F16">
        <w:rPr>
          <w:lang w:eastAsia="en-US"/>
        </w:rPr>
        <w:t xml:space="preserve"> nositelja provedbe pojedin</w:t>
      </w:r>
      <w:r>
        <w:rPr>
          <w:lang w:eastAsia="en-US"/>
        </w:rPr>
        <w:t>e</w:t>
      </w:r>
      <w:r w:rsidRPr="00F51F16">
        <w:rPr>
          <w:lang w:eastAsia="en-US"/>
        </w:rPr>
        <w:t xml:space="preserve"> mjer</w:t>
      </w:r>
      <w:r>
        <w:rPr>
          <w:lang w:eastAsia="en-US"/>
        </w:rPr>
        <w:t>e</w:t>
      </w:r>
      <w:r w:rsidRPr="00F51F16">
        <w:rPr>
          <w:lang w:eastAsia="en-US"/>
        </w:rPr>
        <w:t>. Prvi Akcijski plan za provedbu Nacionalnog plana izrađen je za razdoblje do 2024. godine</w:t>
      </w:r>
      <w:r w:rsidR="00932B47">
        <w:rPr>
          <w:lang w:eastAsia="en-US"/>
        </w:rPr>
        <w:t>,</w:t>
      </w:r>
      <w:r w:rsidRPr="00F51F16">
        <w:rPr>
          <w:lang w:eastAsia="en-US"/>
        </w:rPr>
        <w:t xml:space="preserve"> a donosi se kao </w:t>
      </w:r>
      <w:r>
        <w:rPr>
          <w:lang w:eastAsia="en-US"/>
        </w:rPr>
        <w:t>Prilog 1.</w:t>
      </w:r>
      <w:r w:rsidRPr="00F51F16">
        <w:rPr>
          <w:lang w:eastAsia="en-US"/>
        </w:rPr>
        <w:t xml:space="preserve"> ovom Nacionalnom planu.</w:t>
      </w:r>
      <w:r>
        <w:rPr>
          <w:lang w:eastAsia="en-US"/>
        </w:rPr>
        <w:t xml:space="preserve"> </w:t>
      </w:r>
    </w:p>
    <w:p w14:paraId="1431BA4C" w14:textId="77777777" w:rsidR="008B1DC1" w:rsidRPr="000F657A" w:rsidRDefault="008B1DC1" w:rsidP="008B1DC1">
      <w:pPr>
        <w:spacing w:after="0"/>
        <w:rPr>
          <w:rFonts w:cs="Arial"/>
          <w:color w:val="000000"/>
          <w:sz w:val="20"/>
          <w:szCs w:val="20"/>
          <w:lang w:eastAsia="en-US"/>
        </w:rPr>
      </w:pPr>
    </w:p>
    <w:p w14:paraId="52C4BDB1" w14:textId="0303AB55" w:rsidR="001C06E8" w:rsidRPr="009E63DB" w:rsidRDefault="001C06E8" w:rsidP="00001FEA">
      <w:pPr>
        <w:pStyle w:val="Naslov2"/>
        <w:ind w:left="0" w:firstLine="0"/>
        <w:rPr>
          <w:lang w:eastAsia="en-US"/>
        </w:rPr>
      </w:pPr>
      <w:bookmarkStart w:id="6" w:name="_Toc122335615"/>
      <w:r w:rsidRPr="009E63DB">
        <w:rPr>
          <w:lang w:eastAsia="en-US"/>
        </w:rPr>
        <w:t>Poveznica s razvojnim smjerom i strateškim ciljevima NRS</w:t>
      </w:r>
      <w:r w:rsidR="00711C0B">
        <w:rPr>
          <w:lang w:eastAsia="en-US"/>
        </w:rPr>
        <w:t>-a</w:t>
      </w:r>
      <w:r w:rsidRPr="009E63DB">
        <w:rPr>
          <w:lang w:eastAsia="en-US"/>
        </w:rPr>
        <w:t xml:space="preserve"> 2030</w:t>
      </w:r>
      <w:r w:rsidR="00932B47">
        <w:rPr>
          <w:lang w:eastAsia="en-US"/>
        </w:rPr>
        <w:t>.</w:t>
      </w:r>
      <w:r w:rsidRPr="009E63DB">
        <w:rPr>
          <w:lang w:eastAsia="en-US"/>
        </w:rPr>
        <w:t xml:space="preserve"> i strateškim ciljevima Strategije prometnog razv</w:t>
      </w:r>
      <w:r w:rsidR="00600A56">
        <w:rPr>
          <w:lang w:eastAsia="en-US"/>
        </w:rPr>
        <w:t>oja</w:t>
      </w:r>
      <w:r w:rsidRPr="009E63DB">
        <w:rPr>
          <w:lang w:eastAsia="en-US"/>
        </w:rPr>
        <w:t xml:space="preserve"> </w:t>
      </w:r>
      <w:r w:rsidR="00AF7C7C" w:rsidRPr="00AF7C7C">
        <w:rPr>
          <w:lang w:eastAsia="en-US"/>
        </w:rPr>
        <w:t>Republike Hrvatske za razdoblje od 2017. do 2030. godine</w:t>
      </w:r>
      <w:bookmarkEnd w:id="6"/>
    </w:p>
    <w:p w14:paraId="60ADFF19" w14:textId="77777777" w:rsidR="001C06E8" w:rsidRDefault="001C06E8" w:rsidP="00001FEA">
      <w:pPr>
        <w:spacing w:after="0" w:line="240" w:lineRule="auto"/>
        <w:rPr>
          <w:rFonts w:cs="Arial"/>
          <w:color w:val="000000"/>
          <w:sz w:val="20"/>
          <w:szCs w:val="20"/>
          <w:lang w:val="en-US" w:eastAsia="en-US"/>
        </w:rPr>
      </w:pPr>
    </w:p>
    <w:p w14:paraId="0E204D15" w14:textId="03666AD6" w:rsidR="00191404" w:rsidRPr="00191404" w:rsidRDefault="00191404" w:rsidP="00001FEA">
      <w:pPr>
        <w:spacing w:after="0"/>
        <w:rPr>
          <w:rFonts w:cs="Arial"/>
        </w:rPr>
      </w:pPr>
      <w:r w:rsidRPr="00191404">
        <w:rPr>
          <w:rFonts w:cs="Arial"/>
        </w:rPr>
        <w:t xml:space="preserve">NRS 2030. </w:t>
      </w:r>
      <w:r w:rsidR="00932B47">
        <w:rPr>
          <w:rFonts w:cs="Arial"/>
        </w:rPr>
        <w:t>je</w:t>
      </w:r>
      <w:r w:rsidRPr="00191404">
        <w:rPr>
          <w:rFonts w:cs="Arial"/>
        </w:rPr>
        <w:t xml:space="preserve"> sveobuhvatni akt</w:t>
      </w:r>
      <w:r w:rsidR="001C51DA">
        <w:rPr>
          <w:rFonts w:cs="Arial"/>
        </w:rPr>
        <w:t xml:space="preserve"> </w:t>
      </w:r>
      <w:r w:rsidRPr="00191404">
        <w:rPr>
          <w:rFonts w:cs="Arial"/>
        </w:rPr>
        <w:t xml:space="preserve">strateškog planiranja kojim se dugoročno usmjerava razvoj društva i gospodarstva u svim važnim pitanjima za Republiku Hrvatsku te predstavlja okvir za </w:t>
      </w:r>
      <w:r w:rsidRPr="00191404">
        <w:rPr>
          <w:rFonts w:cs="Arial"/>
        </w:rPr>
        <w:lastRenderedPageBreak/>
        <w:t>izradu akata strateškog planiranja na svim razinama vlasti čime se osigurava usklađenost u pripremi javnih politika i postizanje sinergijskog učinka pri njihovoj provedbi.</w:t>
      </w:r>
    </w:p>
    <w:p w14:paraId="0839E0CB" w14:textId="77777777" w:rsidR="008B1DC1" w:rsidRDefault="008B1DC1" w:rsidP="008B1DC1">
      <w:pPr>
        <w:spacing w:before="240"/>
        <w:rPr>
          <w:rFonts w:cs="Arial"/>
        </w:rPr>
      </w:pPr>
      <w:r w:rsidRPr="00191404">
        <w:rPr>
          <w:rFonts w:cs="Arial"/>
        </w:rPr>
        <w:t>Posebni ciljevi Nacionalnog plana izravno doprinose postizanju strateškog cilja 10</w:t>
      </w:r>
      <w:r w:rsidR="003F4BC6">
        <w:rPr>
          <w:rFonts w:cs="Arial"/>
        </w:rPr>
        <w:t>.</w:t>
      </w:r>
      <w:r w:rsidRPr="00191404">
        <w:rPr>
          <w:rFonts w:cs="Arial"/>
        </w:rPr>
        <w:t xml:space="preserve"> Održiva mobilnost i ispunjenju pripadajućeg pokazatelja učinka utvrđenih u okviru razvojnog smjera Zelena i digitalna tranzicija NRS-a 2030. </w:t>
      </w:r>
      <w:r w:rsidR="00711C0B">
        <w:rPr>
          <w:rFonts w:cs="Arial"/>
        </w:rPr>
        <w:t xml:space="preserve">U skladu s </w:t>
      </w:r>
      <w:r w:rsidRPr="00191404">
        <w:rPr>
          <w:rFonts w:cs="Arial"/>
        </w:rPr>
        <w:t>NRS</w:t>
      </w:r>
      <w:r>
        <w:rPr>
          <w:rFonts w:cs="Arial"/>
        </w:rPr>
        <w:t>-om</w:t>
      </w:r>
      <w:r w:rsidRPr="00191404">
        <w:rPr>
          <w:rFonts w:cs="Arial"/>
        </w:rPr>
        <w:t xml:space="preserve"> 2030., </w:t>
      </w:r>
      <w:r w:rsidR="00711C0B">
        <w:rPr>
          <w:rFonts w:cs="Arial"/>
        </w:rPr>
        <w:t xml:space="preserve">provedbom ulaganja u </w:t>
      </w:r>
      <w:r>
        <w:rPr>
          <w:rFonts w:cs="Arial"/>
        </w:rPr>
        <w:t xml:space="preserve">unaprjeđenje </w:t>
      </w:r>
      <w:r w:rsidR="00DA4D72">
        <w:rPr>
          <w:rFonts w:cs="Arial"/>
        </w:rPr>
        <w:t>hrvatskog prometnog</w:t>
      </w:r>
      <w:r w:rsidRPr="00191404">
        <w:rPr>
          <w:rFonts w:cs="Arial"/>
        </w:rPr>
        <w:t xml:space="preserve"> sustava, doprinijet </w:t>
      </w:r>
      <w:r w:rsidR="00DA4D72">
        <w:rPr>
          <w:rFonts w:cs="Arial"/>
        </w:rPr>
        <w:t xml:space="preserve">će se </w:t>
      </w:r>
      <w:r w:rsidRPr="00191404">
        <w:rPr>
          <w:rFonts w:cs="Arial"/>
        </w:rPr>
        <w:t xml:space="preserve">napretku Republike Hrvatske iznad 28. mjesta prema </w:t>
      </w:r>
      <w:r>
        <w:rPr>
          <w:rFonts w:cs="Arial"/>
        </w:rPr>
        <w:t>pokazatelju</w:t>
      </w:r>
      <w:r w:rsidRPr="00191404">
        <w:rPr>
          <w:rFonts w:cs="Arial"/>
        </w:rPr>
        <w:t xml:space="preserve"> Infrastruktura,</w:t>
      </w:r>
      <w:r>
        <w:rPr>
          <w:rFonts w:cs="Arial"/>
        </w:rPr>
        <w:t xml:space="preserve"> komponenti </w:t>
      </w:r>
      <w:r w:rsidRPr="00191404">
        <w:rPr>
          <w:rFonts w:cs="Arial"/>
        </w:rPr>
        <w:t>Indeksa globalne konkurentnosti (GCI), Svjetskog gospodarskog foruma</w:t>
      </w:r>
      <w:r w:rsidR="00DA4D72">
        <w:rPr>
          <w:rFonts w:cs="Arial"/>
        </w:rPr>
        <w:t xml:space="preserve">. </w:t>
      </w:r>
      <w:r>
        <w:rPr>
          <w:rFonts w:cs="Arial"/>
        </w:rPr>
        <w:t>P</w:t>
      </w:r>
      <w:r w:rsidRPr="00191404">
        <w:rPr>
          <w:rFonts w:cs="Arial"/>
        </w:rPr>
        <w:t xml:space="preserve">rema </w:t>
      </w:r>
      <w:r>
        <w:rPr>
          <w:rFonts w:cs="Arial"/>
        </w:rPr>
        <w:t xml:space="preserve">posljednjoj dostupnoj vrijednosti pokazatelja Infrastruktura, </w:t>
      </w:r>
      <w:r w:rsidRPr="00191404">
        <w:rPr>
          <w:rFonts w:cs="Arial"/>
        </w:rPr>
        <w:t xml:space="preserve">Republika </w:t>
      </w:r>
      <w:r w:rsidR="00932B47">
        <w:rPr>
          <w:rFonts w:cs="Arial"/>
        </w:rPr>
        <w:t xml:space="preserve">je </w:t>
      </w:r>
      <w:r w:rsidRPr="00191404">
        <w:rPr>
          <w:rFonts w:cs="Arial"/>
        </w:rPr>
        <w:t>Hrvatska u 2019. godini zauzimala 32. mjesto</w:t>
      </w:r>
      <w:r>
        <w:rPr>
          <w:rFonts w:cs="Arial"/>
        </w:rPr>
        <w:t xml:space="preserve">, </w:t>
      </w:r>
      <w:r w:rsidR="00932B47">
        <w:rPr>
          <w:rFonts w:cs="Arial"/>
        </w:rPr>
        <w:t>dok</w:t>
      </w:r>
      <w:r>
        <w:rPr>
          <w:rFonts w:cs="Arial"/>
        </w:rPr>
        <w:t xml:space="preserve"> z</w:t>
      </w:r>
      <w:r w:rsidRPr="00373CBE">
        <w:rPr>
          <w:rFonts w:cs="Arial"/>
        </w:rPr>
        <w:t>a 2020. i 2021. godinu</w:t>
      </w:r>
      <w:r>
        <w:rPr>
          <w:rFonts w:cs="Arial"/>
        </w:rPr>
        <w:t>,</w:t>
      </w:r>
      <w:r w:rsidRPr="00373CBE">
        <w:rPr>
          <w:rFonts w:cs="Arial"/>
        </w:rPr>
        <w:t xml:space="preserve"> </w:t>
      </w:r>
      <w:r>
        <w:rPr>
          <w:rFonts w:cs="Arial"/>
        </w:rPr>
        <w:t xml:space="preserve">zbog pandemije bolesti uzrokovane virusom COVID-19, nije bio izrađivan pregled zemalja prema </w:t>
      </w:r>
      <w:r w:rsidR="00DA4D72">
        <w:rPr>
          <w:rFonts w:cs="Arial"/>
        </w:rPr>
        <w:t>GCI</w:t>
      </w:r>
      <w:r w:rsidR="00932B47">
        <w:rPr>
          <w:rFonts w:cs="Arial"/>
        </w:rPr>
        <w:t>-ju</w:t>
      </w:r>
      <w:r>
        <w:rPr>
          <w:rFonts w:cs="Arial"/>
        </w:rPr>
        <w:t xml:space="preserve">. </w:t>
      </w:r>
    </w:p>
    <w:p w14:paraId="2F718E22" w14:textId="77777777" w:rsidR="008B1DC1" w:rsidRPr="00603E27" w:rsidRDefault="008B1DC1" w:rsidP="008B1DC1">
      <w:pPr>
        <w:spacing w:before="240"/>
        <w:rPr>
          <w:rFonts w:cs="Arial"/>
        </w:rPr>
      </w:pPr>
      <w:r w:rsidRPr="00603E27">
        <w:rPr>
          <w:rFonts w:cs="Arial"/>
        </w:rPr>
        <w:t>Pri izradi Nacionalnog plana u obzir su uzeti dugoročni prioriteti</w:t>
      </w:r>
      <w:r w:rsidR="00DA4D72">
        <w:rPr>
          <w:rFonts w:cs="Arial"/>
        </w:rPr>
        <w:t xml:space="preserve"> provedbe</w:t>
      </w:r>
      <w:r w:rsidRPr="00603E27">
        <w:rPr>
          <w:rFonts w:cs="Arial"/>
        </w:rPr>
        <w:t xml:space="preserve"> javnih politika</w:t>
      </w:r>
      <w:r w:rsidR="00DA4D72">
        <w:rPr>
          <w:rFonts w:cs="Arial"/>
        </w:rPr>
        <w:t xml:space="preserve"> </w:t>
      </w:r>
      <w:r w:rsidRPr="00603E27">
        <w:rPr>
          <w:rFonts w:cs="Arial"/>
        </w:rPr>
        <w:t xml:space="preserve">utvrđeni </w:t>
      </w:r>
      <w:r w:rsidR="00DA4D72">
        <w:rPr>
          <w:rFonts w:cs="Arial"/>
        </w:rPr>
        <w:t>za</w:t>
      </w:r>
      <w:r w:rsidRPr="00603E27">
        <w:rPr>
          <w:rFonts w:cs="Arial"/>
        </w:rPr>
        <w:t xml:space="preserve"> </w:t>
      </w:r>
      <w:r w:rsidR="00DA4D72">
        <w:rPr>
          <w:rFonts w:cs="Arial"/>
        </w:rPr>
        <w:t xml:space="preserve">prioritetno područje javnih politika </w:t>
      </w:r>
      <w:r w:rsidR="00DA4D72" w:rsidRPr="00DA4D72">
        <w:rPr>
          <w:rFonts w:cs="Arial"/>
        </w:rPr>
        <w:t>Modernizacija i izgradnja željezničkih pruga, promicanje integriranog urbanog prijevoza i prijevoza tereta željeznicom</w:t>
      </w:r>
      <w:r w:rsidR="00DA4D72">
        <w:rPr>
          <w:rFonts w:cs="Arial"/>
        </w:rPr>
        <w:t xml:space="preserve"> u okviru </w:t>
      </w:r>
      <w:r w:rsidRPr="00603E27">
        <w:rPr>
          <w:rFonts w:cs="Arial"/>
        </w:rPr>
        <w:t>strateškog cilja</w:t>
      </w:r>
      <w:r>
        <w:rPr>
          <w:rFonts w:cs="Arial"/>
        </w:rPr>
        <w:t xml:space="preserve"> NRS-a 2030.</w:t>
      </w:r>
      <w:r w:rsidRPr="00603E27">
        <w:rPr>
          <w:rFonts w:cs="Arial"/>
        </w:rPr>
        <w:t xml:space="preserve"> 10</w:t>
      </w:r>
      <w:r w:rsidR="00932B47">
        <w:rPr>
          <w:rFonts w:cs="Arial"/>
        </w:rPr>
        <w:t>:</w:t>
      </w:r>
      <w:r w:rsidRPr="00603E27">
        <w:rPr>
          <w:rFonts w:cs="Arial"/>
        </w:rPr>
        <w:t xml:space="preserve"> Održiva mobilnost, i to:</w:t>
      </w:r>
    </w:p>
    <w:p w14:paraId="326685A5" w14:textId="77777777" w:rsidR="008B1DC1" w:rsidRPr="00603E27" w:rsidRDefault="008B1DC1" w:rsidP="00CB2946">
      <w:pPr>
        <w:pStyle w:val="Odlomakpopisa"/>
        <w:numPr>
          <w:ilvl w:val="0"/>
          <w:numId w:val="14"/>
        </w:numPr>
      </w:pPr>
      <w:r w:rsidRPr="00603E27">
        <w:t xml:space="preserve">modernizacija željezničkih pruga na hrvatskom dijelu osnovne i sveobuhvatne TEN-T mreže te proširenje i poboljšanje usluga prigradske željeznice </w:t>
      </w:r>
    </w:p>
    <w:p w14:paraId="2221D5DF" w14:textId="77777777" w:rsidR="008B1DC1" w:rsidRPr="00603E27" w:rsidRDefault="008B1DC1" w:rsidP="00CB2946">
      <w:pPr>
        <w:pStyle w:val="Odlomakpopisa"/>
        <w:numPr>
          <w:ilvl w:val="0"/>
          <w:numId w:val="14"/>
        </w:numPr>
      </w:pPr>
      <w:r w:rsidRPr="00603E27">
        <w:t>promicanje prijevoza tereta željeznicom i drugim oblicima prijevoza s manjom emisijom stakleničkih plinova</w:t>
      </w:r>
    </w:p>
    <w:p w14:paraId="07169811" w14:textId="77777777" w:rsidR="008B1DC1" w:rsidRPr="00603E27" w:rsidRDefault="008B1DC1" w:rsidP="00CB2946">
      <w:pPr>
        <w:pStyle w:val="Odlomakpopisa"/>
        <w:numPr>
          <w:ilvl w:val="0"/>
          <w:numId w:val="14"/>
        </w:numPr>
      </w:pPr>
      <w:r w:rsidRPr="00603E27">
        <w:t xml:space="preserve">promicanje integriranog urbanog prijevoza. </w:t>
      </w:r>
    </w:p>
    <w:p w14:paraId="08D485AB" w14:textId="77777777" w:rsidR="008B1DC1" w:rsidRPr="00603E27" w:rsidRDefault="008B1DC1" w:rsidP="008B1DC1">
      <w:pPr>
        <w:spacing w:before="240"/>
        <w:rPr>
          <w:rFonts w:cs="Arial"/>
        </w:rPr>
      </w:pPr>
      <w:r w:rsidRPr="00603E27">
        <w:rPr>
          <w:rFonts w:cs="Arial"/>
        </w:rPr>
        <w:t xml:space="preserve">Usmjeravanjem razvoja </w:t>
      </w:r>
      <w:r>
        <w:rPr>
          <w:rFonts w:cs="Arial"/>
        </w:rPr>
        <w:t xml:space="preserve">upravljanja </w:t>
      </w:r>
      <w:r w:rsidRPr="00603E27">
        <w:rPr>
          <w:rFonts w:cs="Arial"/>
        </w:rPr>
        <w:t>željezničko</w:t>
      </w:r>
      <w:r>
        <w:rPr>
          <w:rFonts w:cs="Arial"/>
        </w:rPr>
        <w:t xml:space="preserve">m infrastrukturom i </w:t>
      </w:r>
      <w:r w:rsidRPr="00957AB2">
        <w:rPr>
          <w:rFonts w:cs="Arial"/>
        </w:rPr>
        <w:t xml:space="preserve">uslužnim objektima </w:t>
      </w:r>
      <w:r w:rsidR="00516D77">
        <w:rPr>
          <w:rFonts w:cs="Arial"/>
        </w:rPr>
        <w:t>te</w:t>
      </w:r>
      <w:r>
        <w:rPr>
          <w:rFonts w:cs="Arial"/>
        </w:rPr>
        <w:t xml:space="preserve"> razvoja</w:t>
      </w:r>
      <w:r w:rsidRPr="00957AB2">
        <w:rPr>
          <w:rFonts w:cs="Arial"/>
        </w:rPr>
        <w:t xml:space="preserve"> usluga željezničkog prijevoza</w:t>
      </w:r>
      <w:r w:rsidRPr="00603E27">
        <w:rPr>
          <w:rFonts w:cs="Arial"/>
        </w:rPr>
        <w:t xml:space="preserve"> na utvrđen</w:t>
      </w:r>
      <w:r w:rsidR="00DA4D72">
        <w:rPr>
          <w:rFonts w:cs="Arial"/>
        </w:rPr>
        <w:t>e</w:t>
      </w:r>
      <w:r w:rsidRPr="00603E27">
        <w:rPr>
          <w:rFonts w:cs="Arial"/>
        </w:rPr>
        <w:t xml:space="preserve"> prioritet</w:t>
      </w:r>
      <w:r w:rsidR="00DA4D72">
        <w:rPr>
          <w:rFonts w:cs="Arial"/>
        </w:rPr>
        <w:t>e provedbe</w:t>
      </w:r>
      <w:r w:rsidRPr="00603E27">
        <w:rPr>
          <w:rFonts w:cs="Arial"/>
        </w:rPr>
        <w:t xml:space="preserve"> </w:t>
      </w:r>
      <w:r>
        <w:rPr>
          <w:rFonts w:cs="Arial"/>
        </w:rPr>
        <w:t>javnih politika NRS-a 2030.</w:t>
      </w:r>
      <w:r w:rsidRPr="00603E27">
        <w:rPr>
          <w:rFonts w:cs="Arial"/>
        </w:rPr>
        <w:t>, provedba Nacionalnog plana doprinijet</w:t>
      </w:r>
      <w:r w:rsidR="00437695">
        <w:rPr>
          <w:rFonts w:cs="Arial"/>
        </w:rPr>
        <w:t xml:space="preserve"> </w:t>
      </w:r>
      <w:r w:rsidRPr="00603E27">
        <w:rPr>
          <w:rFonts w:cs="Arial"/>
        </w:rPr>
        <w:t xml:space="preserve">će izgradnji modernog i pouzdanog željezničkog </w:t>
      </w:r>
      <w:r w:rsidR="0069130F">
        <w:rPr>
          <w:rFonts w:cs="Arial"/>
        </w:rPr>
        <w:t>sustava</w:t>
      </w:r>
      <w:r w:rsidRPr="00603E27">
        <w:rPr>
          <w:rFonts w:cs="Arial"/>
        </w:rPr>
        <w:t xml:space="preserve"> koji će pružati kvalitetne i povoljne usluge u skladu s potrebama i zahtjevima društva i gospodarstva čime će se unaprijediti kvaliteta života građana u Republici Hrvatskoj i poboljšati konkurentnost hrvatskog gospodarstva.</w:t>
      </w:r>
    </w:p>
    <w:p w14:paraId="5C189B28" w14:textId="77777777" w:rsidR="008B1DC1" w:rsidRPr="00387A88" w:rsidRDefault="00DA4D72" w:rsidP="008B1DC1">
      <w:pPr>
        <w:spacing w:after="0"/>
        <w:rPr>
          <w:rFonts w:cs="Arial"/>
        </w:rPr>
      </w:pPr>
      <w:r>
        <w:rPr>
          <w:rFonts w:cs="Arial"/>
        </w:rPr>
        <w:t>Nacionalnim planom</w:t>
      </w:r>
      <w:r w:rsidR="00785A8E">
        <w:rPr>
          <w:rFonts w:cs="Arial"/>
        </w:rPr>
        <w:t xml:space="preserve"> planirana </w:t>
      </w:r>
      <w:r w:rsidR="00516D77">
        <w:rPr>
          <w:rFonts w:cs="Arial"/>
        </w:rPr>
        <w:t xml:space="preserve">je </w:t>
      </w:r>
      <w:r w:rsidR="00785A8E">
        <w:rPr>
          <w:rFonts w:cs="Arial"/>
        </w:rPr>
        <w:t>i provedba mjera i ulaganja usmjerenih na</w:t>
      </w:r>
      <w:r w:rsidR="008B1DC1" w:rsidRPr="00603E27">
        <w:rPr>
          <w:rFonts w:cs="Arial"/>
        </w:rPr>
        <w:t xml:space="preserve"> </w:t>
      </w:r>
      <w:r w:rsidR="008B1DC1">
        <w:rPr>
          <w:rFonts w:cs="Arial"/>
        </w:rPr>
        <w:t>unaprjeđenje upravljanja</w:t>
      </w:r>
      <w:r w:rsidR="008B1DC1" w:rsidRPr="00603E27">
        <w:rPr>
          <w:rFonts w:cs="Arial"/>
        </w:rPr>
        <w:t xml:space="preserve"> željezničk</w:t>
      </w:r>
      <w:r w:rsidR="008B1DC1">
        <w:rPr>
          <w:rFonts w:cs="Arial"/>
        </w:rPr>
        <w:t>om</w:t>
      </w:r>
      <w:r w:rsidR="008B1DC1" w:rsidRPr="00603E27">
        <w:rPr>
          <w:rFonts w:cs="Arial"/>
        </w:rPr>
        <w:t xml:space="preserve"> infrastruktur</w:t>
      </w:r>
      <w:r w:rsidR="008B1DC1">
        <w:rPr>
          <w:rFonts w:cs="Arial"/>
        </w:rPr>
        <w:t>om i uslužnim objektima</w:t>
      </w:r>
      <w:r w:rsidR="008B1DC1" w:rsidRPr="00603E27">
        <w:rPr>
          <w:rFonts w:cs="Arial"/>
        </w:rPr>
        <w:t xml:space="preserve"> </w:t>
      </w:r>
      <w:r w:rsidR="00785A8E">
        <w:rPr>
          <w:rFonts w:cs="Arial"/>
        </w:rPr>
        <w:t xml:space="preserve">čime će se </w:t>
      </w:r>
      <w:r w:rsidR="008B1DC1">
        <w:rPr>
          <w:rFonts w:cs="Arial"/>
        </w:rPr>
        <w:t>doprinijet</w:t>
      </w:r>
      <w:r w:rsidR="00785A8E">
        <w:rPr>
          <w:rFonts w:cs="Arial"/>
        </w:rPr>
        <w:t xml:space="preserve">i i </w:t>
      </w:r>
      <w:r w:rsidR="008B1DC1" w:rsidRPr="00603E27">
        <w:rPr>
          <w:rFonts w:cs="Arial"/>
        </w:rPr>
        <w:t>poboljša</w:t>
      </w:r>
      <w:r w:rsidR="008B1DC1">
        <w:rPr>
          <w:rFonts w:cs="Arial"/>
        </w:rPr>
        <w:t>nju</w:t>
      </w:r>
      <w:r w:rsidR="008B1DC1" w:rsidRPr="00603E27">
        <w:rPr>
          <w:rFonts w:cs="Arial"/>
        </w:rPr>
        <w:t xml:space="preserve"> energetsk</w:t>
      </w:r>
      <w:r w:rsidR="008B1DC1">
        <w:rPr>
          <w:rFonts w:cs="Arial"/>
        </w:rPr>
        <w:t>e</w:t>
      </w:r>
      <w:r w:rsidR="008B1DC1" w:rsidRPr="00603E27">
        <w:rPr>
          <w:rFonts w:cs="Arial"/>
        </w:rPr>
        <w:t xml:space="preserve"> učinkovitost</w:t>
      </w:r>
      <w:r w:rsidR="008B1DC1">
        <w:rPr>
          <w:rFonts w:cs="Arial"/>
        </w:rPr>
        <w:t>i</w:t>
      </w:r>
      <w:r w:rsidR="008B1DC1" w:rsidRPr="00603E27">
        <w:rPr>
          <w:rFonts w:cs="Arial"/>
        </w:rPr>
        <w:t xml:space="preserve"> </w:t>
      </w:r>
      <w:r w:rsidR="00785A8E">
        <w:rPr>
          <w:rFonts w:cs="Arial"/>
        </w:rPr>
        <w:t>te</w:t>
      </w:r>
      <w:r w:rsidR="008B1DC1" w:rsidRPr="00603E27">
        <w:rPr>
          <w:rFonts w:cs="Arial"/>
        </w:rPr>
        <w:t xml:space="preserve"> </w:t>
      </w:r>
      <w:r w:rsidR="008B1DC1">
        <w:rPr>
          <w:rFonts w:cs="Arial"/>
        </w:rPr>
        <w:t>smanjenju negativnog učinka</w:t>
      </w:r>
      <w:r w:rsidR="008B1DC1" w:rsidRPr="00603E27">
        <w:rPr>
          <w:rFonts w:cs="Arial"/>
        </w:rPr>
        <w:t xml:space="preserve"> željezničkog prometa</w:t>
      </w:r>
      <w:r w:rsidR="008B1DC1">
        <w:rPr>
          <w:rFonts w:cs="Arial"/>
        </w:rPr>
        <w:t xml:space="preserve"> na okoliš</w:t>
      </w:r>
      <w:r w:rsidR="00DC56B8">
        <w:rPr>
          <w:rFonts w:cs="Arial"/>
        </w:rPr>
        <w:t>, odnosno ostvarenju strateškog cilja 8</w:t>
      </w:r>
      <w:r w:rsidR="003F4BC6">
        <w:rPr>
          <w:rFonts w:cs="Arial"/>
        </w:rPr>
        <w:t>.</w:t>
      </w:r>
      <w:r w:rsidR="00516D77">
        <w:rPr>
          <w:rFonts w:cs="Arial"/>
        </w:rPr>
        <w:t xml:space="preserve"> </w:t>
      </w:r>
      <w:r w:rsidR="00DC56B8" w:rsidRPr="00DC56B8">
        <w:rPr>
          <w:rFonts w:cs="Arial"/>
        </w:rPr>
        <w:t>Ekološka i energetska tranzicija za klimatsku neutralnost</w:t>
      </w:r>
      <w:r w:rsidR="00DC56B8">
        <w:rPr>
          <w:rFonts w:cs="Arial"/>
        </w:rPr>
        <w:t xml:space="preserve"> NRS-a 2030</w:t>
      </w:r>
      <w:r w:rsidR="00DC56B8" w:rsidRPr="00DC56B8">
        <w:rPr>
          <w:rFonts w:cs="Arial"/>
        </w:rPr>
        <w:t>.</w:t>
      </w:r>
      <w:r w:rsidR="008B1DC1">
        <w:rPr>
          <w:rFonts w:cs="Arial"/>
        </w:rPr>
        <w:t xml:space="preserve"> </w:t>
      </w:r>
      <w:r w:rsidR="00DC56B8">
        <w:rPr>
          <w:rFonts w:cs="Arial"/>
        </w:rPr>
        <w:t>Uz planirani nastavak</w:t>
      </w:r>
      <w:r w:rsidR="00785A8E">
        <w:rPr>
          <w:rFonts w:cs="Arial"/>
        </w:rPr>
        <w:t xml:space="preserve"> </w:t>
      </w:r>
      <w:r w:rsidR="008B1DC1" w:rsidRPr="00387A88">
        <w:rPr>
          <w:rFonts w:cs="Arial"/>
        </w:rPr>
        <w:t>informatiz</w:t>
      </w:r>
      <w:r w:rsidR="00785A8E">
        <w:rPr>
          <w:rFonts w:cs="Arial"/>
        </w:rPr>
        <w:t>acije</w:t>
      </w:r>
      <w:r w:rsidR="008B1DC1">
        <w:rPr>
          <w:rFonts w:cs="Arial"/>
        </w:rPr>
        <w:t xml:space="preserve"> i </w:t>
      </w:r>
      <w:r w:rsidR="008B1DC1" w:rsidRPr="00387A88">
        <w:rPr>
          <w:rFonts w:cs="Arial"/>
        </w:rPr>
        <w:t>digitaliz</w:t>
      </w:r>
      <w:r w:rsidR="00785A8E">
        <w:rPr>
          <w:rFonts w:cs="Arial"/>
        </w:rPr>
        <w:t>acije</w:t>
      </w:r>
      <w:r w:rsidR="008B1DC1" w:rsidRPr="00387A88">
        <w:rPr>
          <w:rFonts w:cs="Arial"/>
        </w:rPr>
        <w:t xml:space="preserve"> </w:t>
      </w:r>
      <w:r w:rsidR="008B1DC1">
        <w:rPr>
          <w:rFonts w:cs="Arial"/>
        </w:rPr>
        <w:t xml:space="preserve">poslovnih </w:t>
      </w:r>
      <w:r w:rsidR="008B1DC1" w:rsidRPr="00387A88">
        <w:rPr>
          <w:rFonts w:cs="Arial"/>
        </w:rPr>
        <w:t>proces</w:t>
      </w:r>
      <w:r w:rsidR="008B1DC1">
        <w:rPr>
          <w:rFonts w:cs="Arial"/>
        </w:rPr>
        <w:t xml:space="preserve">a u </w:t>
      </w:r>
      <w:r w:rsidR="008B1DC1" w:rsidRPr="00387A88">
        <w:rPr>
          <w:rFonts w:cs="Arial"/>
        </w:rPr>
        <w:t>upravljanj</w:t>
      </w:r>
      <w:r w:rsidR="008B1DC1">
        <w:rPr>
          <w:rFonts w:cs="Arial"/>
        </w:rPr>
        <w:t>u</w:t>
      </w:r>
      <w:r w:rsidR="008B1DC1" w:rsidRPr="00387A88">
        <w:rPr>
          <w:rFonts w:cs="Arial"/>
        </w:rPr>
        <w:t xml:space="preserve"> željezničkim sustavom, </w:t>
      </w:r>
      <w:r w:rsidR="00DC56B8">
        <w:rPr>
          <w:rFonts w:cs="Arial"/>
        </w:rPr>
        <w:t xml:space="preserve">provedbom Nacionalnog plana </w:t>
      </w:r>
      <w:r w:rsidR="008B1DC1">
        <w:rPr>
          <w:rFonts w:cs="Arial"/>
        </w:rPr>
        <w:t>d</w:t>
      </w:r>
      <w:r w:rsidR="008B1DC1" w:rsidRPr="00387A88">
        <w:rPr>
          <w:rFonts w:cs="Arial"/>
        </w:rPr>
        <w:t xml:space="preserve">oprinijet </w:t>
      </w:r>
      <w:r w:rsidR="008B1DC1">
        <w:rPr>
          <w:rFonts w:cs="Arial"/>
        </w:rPr>
        <w:t>će se</w:t>
      </w:r>
      <w:r w:rsidR="008B1DC1" w:rsidRPr="00387A88">
        <w:rPr>
          <w:rFonts w:cs="Arial"/>
        </w:rPr>
        <w:t xml:space="preserve"> </w:t>
      </w:r>
      <w:r w:rsidR="00DC56B8">
        <w:rPr>
          <w:rFonts w:cs="Arial"/>
        </w:rPr>
        <w:t>provedbi</w:t>
      </w:r>
      <w:r w:rsidR="00DC56B8" w:rsidRPr="00387A88">
        <w:rPr>
          <w:rFonts w:cs="Arial"/>
        </w:rPr>
        <w:t xml:space="preserve"> </w:t>
      </w:r>
      <w:r w:rsidR="008B1DC1" w:rsidRPr="00387A88">
        <w:rPr>
          <w:rFonts w:cs="Arial"/>
        </w:rPr>
        <w:t>razvojnog smjera Zelena i digitalna tranzicija NRS-a 2030.</w:t>
      </w:r>
    </w:p>
    <w:p w14:paraId="3705238D" w14:textId="0EA32DA5" w:rsidR="008B1DC1" w:rsidRPr="00191404" w:rsidRDefault="008B1DC1" w:rsidP="008B1DC1">
      <w:pPr>
        <w:spacing w:before="240"/>
        <w:rPr>
          <w:rFonts w:cs="Arial"/>
        </w:rPr>
      </w:pPr>
      <w:r w:rsidRPr="00191404">
        <w:rPr>
          <w:rFonts w:cs="Arial"/>
        </w:rPr>
        <w:t xml:space="preserve">Provedbom Nacionalnog plana doprinosi se ostvarenju općih ciljeva Strategije prometnog razvoja </w:t>
      </w:r>
      <w:r w:rsidR="00AF7C7C" w:rsidRPr="00AF7C7C">
        <w:rPr>
          <w:rFonts w:cs="Arial"/>
        </w:rPr>
        <w:t xml:space="preserve">Republike Hrvatske za razdoblje od 2017. do 2030. godine </w:t>
      </w:r>
      <w:r w:rsidRPr="00191404">
        <w:rPr>
          <w:rFonts w:cs="Arial"/>
        </w:rPr>
        <w:t>(CO1</w:t>
      </w:r>
      <w:r>
        <w:rPr>
          <w:rFonts w:cs="Arial"/>
        </w:rPr>
        <w:t xml:space="preserve"> – </w:t>
      </w:r>
      <w:r w:rsidRPr="00191404">
        <w:rPr>
          <w:rFonts w:cs="Arial"/>
        </w:rPr>
        <w:t xml:space="preserve">CO9) </w:t>
      </w:r>
      <w:r w:rsidR="00516D77">
        <w:rPr>
          <w:rFonts w:cs="Arial"/>
        </w:rPr>
        <w:t>budući</w:t>
      </w:r>
      <w:r w:rsidR="00516D77" w:rsidRPr="00191404">
        <w:rPr>
          <w:rFonts w:cs="Arial"/>
        </w:rPr>
        <w:t xml:space="preserve"> </w:t>
      </w:r>
      <w:r w:rsidRPr="00191404">
        <w:rPr>
          <w:rFonts w:cs="Arial"/>
        </w:rPr>
        <w:t xml:space="preserve">da je Nacionalnim planom predviđeno poboljšanje raspodjele prometa putnika i tereta u korist prijevoza željeznicom (CO1 i CO2), razvoj željezničkog sustava prema načelu ekonomske održivosti (CO3), smanjenje utjecaja željezničkog sustava na klimatske promjene i okoliš (CO4 i CO5), povećanje sigurnosti i interoperabilnosti željezničkog prometa (CO6 i CO7), integracija prometnih </w:t>
      </w:r>
      <w:proofErr w:type="spellStart"/>
      <w:r w:rsidRPr="00191404">
        <w:rPr>
          <w:rFonts w:cs="Arial"/>
        </w:rPr>
        <w:t>modova</w:t>
      </w:r>
      <w:proofErr w:type="spellEnd"/>
      <w:r w:rsidRPr="00191404">
        <w:rPr>
          <w:rFonts w:cs="Arial"/>
        </w:rPr>
        <w:t xml:space="preserve"> (CO8) i razvoj hrvatsko</w:t>
      </w:r>
      <w:r w:rsidR="00516D77">
        <w:rPr>
          <w:rFonts w:cs="Arial"/>
        </w:rPr>
        <w:t>g</w:t>
      </w:r>
      <w:r w:rsidRPr="00191404">
        <w:rPr>
          <w:rFonts w:cs="Arial"/>
        </w:rPr>
        <w:t xml:space="preserve"> dijela TEN-T željezničke mreže (CO9).</w:t>
      </w:r>
    </w:p>
    <w:p w14:paraId="5B319FC7" w14:textId="1762ED2C" w:rsidR="004748C8" w:rsidRDefault="00191404" w:rsidP="00001FEA">
      <w:pPr>
        <w:spacing w:after="0"/>
        <w:rPr>
          <w:rFonts w:cs="Arial"/>
        </w:rPr>
      </w:pPr>
      <w:r w:rsidRPr="00191404">
        <w:rPr>
          <w:rFonts w:cs="Arial"/>
        </w:rPr>
        <w:t xml:space="preserve">Također, provedbom Nacionalnog plana doprinosi se ostvarenju specifičnih ciljeva za područje željezničkog prijevoza, Strategije prometnog razvoja </w:t>
      </w:r>
      <w:r w:rsidR="00AF7C7C" w:rsidRPr="00AF7C7C">
        <w:rPr>
          <w:rFonts w:cs="Arial"/>
        </w:rPr>
        <w:t xml:space="preserve">Republike Hrvatske za razdoblje od 2017. </w:t>
      </w:r>
      <w:r w:rsidR="00AF7C7C" w:rsidRPr="00AF7C7C">
        <w:rPr>
          <w:rFonts w:cs="Arial"/>
        </w:rPr>
        <w:lastRenderedPageBreak/>
        <w:t>do 2030. godine</w:t>
      </w:r>
      <w:r w:rsidR="00AF7C7C">
        <w:rPr>
          <w:rFonts w:cs="Arial"/>
        </w:rPr>
        <w:t xml:space="preserve"> </w:t>
      </w:r>
      <w:r w:rsidRPr="00191404">
        <w:rPr>
          <w:rFonts w:cs="Arial"/>
        </w:rPr>
        <w:t>poticanjem integriranog prijevoza putnika (SC2 i SC4), provedbom ulaganja u željezničko-cestovne prijelaze (SC5)</w:t>
      </w:r>
      <w:r w:rsidR="008B1DC1">
        <w:rPr>
          <w:rFonts w:cs="Arial"/>
        </w:rPr>
        <w:t xml:space="preserve"> i</w:t>
      </w:r>
      <w:r w:rsidRPr="00191404">
        <w:rPr>
          <w:rFonts w:cs="Arial"/>
        </w:rPr>
        <w:t xml:space="preserve"> ulaganjima u sustave upravljanja prometom (SC6). </w:t>
      </w:r>
    </w:p>
    <w:p w14:paraId="19CB810B" w14:textId="77777777" w:rsidR="00722F46" w:rsidRDefault="00722F46" w:rsidP="00001FEA">
      <w:pPr>
        <w:spacing w:line="240" w:lineRule="auto"/>
        <w:jc w:val="left"/>
        <w:rPr>
          <w:rFonts w:cs="Arial"/>
        </w:rPr>
      </w:pPr>
    </w:p>
    <w:p w14:paraId="2F223E1E" w14:textId="77777777" w:rsidR="001C06E8" w:rsidRPr="0003715E" w:rsidRDefault="001C06E8" w:rsidP="00001FEA">
      <w:pPr>
        <w:pStyle w:val="Naslov2"/>
        <w:ind w:left="0" w:firstLine="0"/>
        <w:rPr>
          <w:lang w:eastAsia="en-US"/>
        </w:rPr>
      </w:pPr>
      <w:bookmarkStart w:id="7" w:name="_Toc122335616"/>
      <w:r w:rsidRPr="0003715E">
        <w:rPr>
          <w:lang w:eastAsia="en-US"/>
        </w:rPr>
        <w:t>Postupak izrade Nacionalnog plana i uključenost glavnih dionika u postupak izrade</w:t>
      </w:r>
      <w:bookmarkEnd w:id="7"/>
    </w:p>
    <w:p w14:paraId="4FB5C470" w14:textId="77777777" w:rsidR="001C06E8" w:rsidRDefault="001C06E8" w:rsidP="00001FEA">
      <w:pPr>
        <w:spacing w:after="0" w:line="240" w:lineRule="auto"/>
        <w:rPr>
          <w:rFonts w:cs="Arial"/>
          <w:color w:val="000000"/>
          <w:sz w:val="20"/>
          <w:szCs w:val="20"/>
          <w:lang w:val="en-US" w:eastAsia="en-US"/>
        </w:rPr>
      </w:pPr>
    </w:p>
    <w:p w14:paraId="0B3DD7BB" w14:textId="77777777" w:rsidR="004748C8" w:rsidRDefault="004748C8" w:rsidP="00001FEA">
      <w:r w:rsidRPr="00CA2D7F">
        <w:t xml:space="preserve">Nacionalni </w:t>
      </w:r>
      <w:r w:rsidR="00516D77">
        <w:t xml:space="preserve">je </w:t>
      </w:r>
      <w:r w:rsidRPr="00CA2D7F">
        <w:t xml:space="preserve">plan izrađen </w:t>
      </w:r>
      <w:r>
        <w:t>uz</w:t>
      </w:r>
      <w:r w:rsidRPr="00CA2D7F">
        <w:t xml:space="preserve"> pošt</w:t>
      </w:r>
      <w:r>
        <w:t>ivanje</w:t>
      </w:r>
      <w:r w:rsidRPr="00CA2D7F">
        <w:t xml:space="preserve"> načela partnerstva i transparentnosti kori</w:t>
      </w:r>
      <w:r>
        <w:t>štenjem</w:t>
      </w:r>
      <w:r w:rsidRPr="00CA2D7F">
        <w:t xml:space="preserve"> različit</w:t>
      </w:r>
      <w:r>
        <w:t>ih</w:t>
      </w:r>
      <w:r w:rsidRPr="00CA2D7F">
        <w:t xml:space="preserve"> mehaniz</w:t>
      </w:r>
      <w:r>
        <w:t>ama</w:t>
      </w:r>
      <w:r w:rsidRPr="00CA2D7F">
        <w:t xml:space="preserve"> dijaloga i konzultacija s </w:t>
      </w:r>
      <w:r>
        <w:t xml:space="preserve">ključnim </w:t>
      </w:r>
      <w:r w:rsidRPr="00CA2D7F">
        <w:t>dionicima</w:t>
      </w:r>
      <w:r>
        <w:t xml:space="preserve"> željezničkog sustava</w:t>
      </w:r>
      <w:r w:rsidRPr="00CA2D7F">
        <w:t xml:space="preserve">. </w:t>
      </w:r>
      <w:r>
        <w:t>U skladu s odredbama Zakona o željeznici, nositelj izrade Nacionalnog plana je</w:t>
      </w:r>
      <w:r w:rsidR="00516D77">
        <w:t>st</w:t>
      </w:r>
      <w:r>
        <w:t xml:space="preserve"> Ministarstvo mora, prometa i infrastrukture</w:t>
      </w:r>
      <w:r w:rsidR="00516D77">
        <w:t>.</w:t>
      </w:r>
      <w:r>
        <w:t xml:space="preserve"> </w:t>
      </w:r>
      <w:r w:rsidR="00516D77">
        <w:t>Z</w:t>
      </w:r>
      <w:r>
        <w:t xml:space="preserve">a izradu je bila zadužena Radna skupina za izradu, sastavljena </w:t>
      </w:r>
      <w:r w:rsidRPr="007066AD">
        <w:t xml:space="preserve">od predstavnika </w:t>
      </w:r>
      <w:r w:rsidRPr="008943DB">
        <w:t>MMPI</w:t>
      </w:r>
      <w:r w:rsidR="00516D77">
        <w:t>-ja</w:t>
      </w:r>
      <w:r w:rsidRPr="008943DB">
        <w:t xml:space="preserve"> </w:t>
      </w:r>
      <w:r w:rsidR="004B13E4" w:rsidRPr="004342F4">
        <w:t xml:space="preserve">i </w:t>
      </w:r>
      <w:r w:rsidR="004B13E4">
        <w:t>tijela za sigurnost željezničkog prometa</w:t>
      </w:r>
      <w:r w:rsidRPr="008943DB">
        <w:t>, upravitelj</w:t>
      </w:r>
      <w:r>
        <w:t>a</w:t>
      </w:r>
      <w:r w:rsidRPr="008943DB">
        <w:t xml:space="preserve"> </w:t>
      </w:r>
      <w:r>
        <w:t xml:space="preserve">željezničkom </w:t>
      </w:r>
      <w:r w:rsidRPr="008943DB">
        <w:t xml:space="preserve">infrastrukturom (HŽI) </w:t>
      </w:r>
      <w:bookmarkStart w:id="8" w:name="_Hlk121130553"/>
      <w:r w:rsidRPr="008943DB">
        <w:t xml:space="preserve">te </w:t>
      </w:r>
      <w:r w:rsidR="001120CB">
        <w:t xml:space="preserve">javnog </w:t>
      </w:r>
      <w:r w:rsidRPr="008943DB">
        <w:t>željezničk</w:t>
      </w:r>
      <w:r w:rsidR="001120CB">
        <w:t xml:space="preserve">og </w:t>
      </w:r>
      <w:r w:rsidRPr="008943DB">
        <w:t>prijevozni</w:t>
      </w:r>
      <w:r>
        <w:t>ka</w:t>
      </w:r>
      <w:bookmarkEnd w:id="8"/>
      <w:r w:rsidRPr="008943DB">
        <w:t xml:space="preserve">. </w:t>
      </w:r>
    </w:p>
    <w:p w14:paraId="5E89C8A5" w14:textId="77777777" w:rsidR="008B1DC1" w:rsidRDefault="00DC56B8" w:rsidP="008B1DC1">
      <w:r>
        <w:t>R</w:t>
      </w:r>
      <w:r w:rsidR="008B1DC1" w:rsidRPr="007870CF">
        <w:t xml:space="preserve">adna skupina započela je s radom na </w:t>
      </w:r>
      <w:r w:rsidR="008B1DC1">
        <w:t>izradi Nacionalnog plana</w:t>
      </w:r>
      <w:r w:rsidR="008B1DC1" w:rsidRPr="007870CF">
        <w:t xml:space="preserve"> u </w:t>
      </w:r>
      <w:r w:rsidR="008B1DC1">
        <w:t>veljači</w:t>
      </w:r>
      <w:r w:rsidR="008B1DC1" w:rsidRPr="007870CF">
        <w:t xml:space="preserve"> 202</w:t>
      </w:r>
      <w:r w:rsidR="008B1DC1">
        <w:t>2</w:t>
      </w:r>
      <w:r w:rsidR="008B1DC1" w:rsidRPr="007870CF">
        <w:t xml:space="preserve">. godine slijedeći propisanu metodologiju strateškog planiranja i upravljanja razvojem. U svrhu </w:t>
      </w:r>
      <w:r w:rsidR="008B1DC1">
        <w:t>provedbe</w:t>
      </w:r>
      <w:r w:rsidR="008B1DC1" w:rsidRPr="007870CF">
        <w:t xml:space="preserve"> konzultacija </w:t>
      </w:r>
      <w:r w:rsidR="008B1DC1">
        <w:t>tijekom izrade nacrta Nacionalnog plana</w:t>
      </w:r>
      <w:r w:rsidR="008B1DC1" w:rsidRPr="007870CF">
        <w:t xml:space="preserve"> održan</w:t>
      </w:r>
      <w:r w:rsidR="008B1DC1">
        <w:t>a</w:t>
      </w:r>
      <w:r w:rsidR="008B1DC1" w:rsidRPr="007870CF">
        <w:t xml:space="preserve"> su</w:t>
      </w:r>
      <w:r w:rsidR="008B1DC1">
        <w:t xml:space="preserve"> </w:t>
      </w:r>
      <w:r w:rsidR="00516D77">
        <w:t>dva</w:t>
      </w:r>
      <w:r w:rsidR="008B1DC1">
        <w:t xml:space="preserve"> kruga</w:t>
      </w:r>
      <w:r w:rsidR="008B1DC1" w:rsidRPr="007870CF">
        <w:t xml:space="preserve"> radionic</w:t>
      </w:r>
      <w:r w:rsidR="008B1DC1">
        <w:t>a</w:t>
      </w:r>
      <w:r w:rsidR="008B1DC1" w:rsidRPr="007870CF">
        <w:t xml:space="preserve"> i sastan</w:t>
      </w:r>
      <w:r w:rsidR="008B1DC1">
        <w:t>aka</w:t>
      </w:r>
      <w:r w:rsidR="008B1DC1" w:rsidRPr="007870CF">
        <w:t xml:space="preserve"> na </w:t>
      </w:r>
      <w:r w:rsidR="008B1DC1">
        <w:t xml:space="preserve">kojima su dionici u željezničkom sustavu imali priliku sudjelovati u </w:t>
      </w:r>
      <w:r w:rsidR="008B1DC1" w:rsidRPr="007870CF">
        <w:t>izra</w:t>
      </w:r>
      <w:r w:rsidR="008B1DC1">
        <w:t>di</w:t>
      </w:r>
      <w:r w:rsidR="008B1DC1" w:rsidRPr="007870CF">
        <w:t xml:space="preserve"> </w:t>
      </w:r>
      <w:r w:rsidR="008B1DC1">
        <w:t>A</w:t>
      </w:r>
      <w:r w:rsidR="008B1DC1" w:rsidRPr="007870CF">
        <w:t>naliz</w:t>
      </w:r>
      <w:r w:rsidR="008B1DC1">
        <w:t>e</w:t>
      </w:r>
      <w:r w:rsidR="008B1DC1" w:rsidRPr="007870CF">
        <w:t xml:space="preserve"> stanja</w:t>
      </w:r>
      <w:r w:rsidR="008B1DC1">
        <w:t xml:space="preserve"> željezničkog sustava, kao i u</w:t>
      </w:r>
      <w:r w:rsidR="008B1DC1" w:rsidRPr="007870CF">
        <w:t xml:space="preserve"> utvrđ</w:t>
      </w:r>
      <w:r w:rsidR="008B1DC1">
        <w:t>ivanju glavnih</w:t>
      </w:r>
      <w:r w:rsidR="008B1DC1" w:rsidRPr="007870CF">
        <w:t xml:space="preserve"> razvojn</w:t>
      </w:r>
      <w:r w:rsidR="008B1DC1">
        <w:t>ih</w:t>
      </w:r>
      <w:r w:rsidR="008B1DC1" w:rsidRPr="007870CF">
        <w:t xml:space="preserve"> potreb</w:t>
      </w:r>
      <w:r w:rsidR="008B1DC1">
        <w:t>a</w:t>
      </w:r>
      <w:r w:rsidR="008B1DC1" w:rsidRPr="007870CF">
        <w:t xml:space="preserve"> i izazov</w:t>
      </w:r>
      <w:r w:rsidR="008B1DC1">
        <w:t>a</w:t>
      </w:r>
      <w:r w:rsidR="008B1DC1" w:rsidRPr="007870CF">
        <w:t xml:space="preserve"> razvoja željezničke infrastrukture</w:t>
      </w:r>
      <w:r w:rsidR="008B1DC1">
        <w:t xml:space="preserve"> u razdoblju do 2030. godine</w:t>
      </w:r>
      <w:r w:rsidR="008B1DC1" w:rsidRPr="007870CF">
        <w:t>.</w:t>
      </w:r>
    </w:p>
    <w:p w14:paraId="66E3461E" w14:textId="049D472F" w:rsidR="008B1DC1" w:rsidRPr="008943DB" w:rsidRDefault="008B1DC1" w:rsidP="008B1DC1">
      <w:r>
        <w:t>Z</w:t>
      </w:r>
      <w:r w:rsidRPr="007120DD">
        <w:t xml:space="preserve">a provedbu </w:t>
      </w:r>
      <w:r>
        <w:t xml:space="preserve">ciljeva utvrđenih </w:t>
      </w:r>
      <w:r w:rsidRPr="007120DD">
        <w:t>Strategij</w:t>
      </w:r>
      <w:r>
        <w:t>om</w:t>
      </w:r>
      <w:r w:rsidRPr="007120DD">
        <w:t xml:space="preserve"> razvoja željezničkog sustava za razdoblje </w:t>
      </w:r>
      <w:r w:rsidR="00A92C5A">
        <w:t xml:space="preserve">do </w:t>
      </w:r>
      <w:r w:rsidRPr="007120DD">
        <w:t>2032.</w:t>
      </w:r>
      <w:r w:rsidR="00A92C5A">
        <w:t xml:space="preserve"> godine</w:t>
      </w:r>
      <w:r>
        <w:t xml:space="preserve">, a temeljem provedene analize stanja i utvrđenih razvojnih potreba u srednjoročnom razdoblju, </w:t>
      </w:r>
      <w:r w:rsidR="00DC56B8">
        <w:t>Radna je skupina</w:t>
      </w:r>
      <w:r w:rsidR="00131115">
        <w:t>,</w:t>
      </w:r>
      <w:r w:rsidR="00DC56B8">
        <w:t xml:space="preserve"> u suradnji s ključnim dionicima</w:t>
      </w:r>
      <w:r w:rsidR="00131115">
        <w:t>,</w:t>
      </w:r>
      <w:r w:rsidR="00DC56B8">
        <w:t xml:space="preserve"> </w:t>
      </w:r>
      <w:r>
        <w:t>utvr</w:t>
      </w:r>
      <w:r w:rsidR="00DC56B8">
        <w:t>dila</w:t>
      </w:r>
      <w:r>
        <w:t xml:space="preserve"> posebn</w:t>
      </w:r>
      <w:r w:rsidR="00DC56B8">
        <w:t>e</w:t>
      </w:r>
      <w:r>
        <w:t xml:space="preserve"> ciljev</w:t>
      </w:r>
      <w:r w:rsidR="00DC56B8">
        <w:t>e</w:t>
      </w:r>
      <w:r>
        <w:t xml:space="preserve"> i odabra</w:t>
      </w:r>
      <w:r w:rsidR="00DC56B8">
        <w:t>la</w:t>
      </w:r>
      <w:r>
        <w:t xml:space="preserve"> odgovarajuć</w:t>
      </w:r>
      <w:r w:rsidR="00DC56B8">
        <w:t>e</w:t>
      </w:r>
      <w:r>
        <w:t xml:space="preserve"> </w:t>
      </w:r>
      <w:r w:rsidRPr="008943DB">
        <w:t>pokazatelj</w:t>
      </w:r>
      <w:r w:rsidR="00DC56B8">
        <w:t>e</w:t>
      </w:r>
      <w:r w:rsidRPr="008943DB">
        <w:t xml:space="preserve"> ishoda</w:t>
      </w:r>
      <w:r w:rsidR="00DC56B8">
        <w:t xml:space="preserve"> za praćenje</w:t>
      </w:r>
      <w:r>
        <w:t xml:space="preserve"> </w:t>
      </w:r>
      <w:r w:rsidR="00DC56B8">
        <w:t>u</w:t>
      </w:r>
      <w:r>
        <w:t>spješnost</w:t>
      </w:r>
      <w:r w:rsidR="00DC56B8">
        <w:t>i</w:t>
      </w:r>
      <w:r>
        <w:t xml:space="preserve"> u provedbi Nacionalnog plana</w:t>
      </w:r>
      <w:r w:rsidRPr="008943DB">
        <w:t xml:space="preserve">. </w:t>
      </w:r>
    </w:p>
    <w:p w14:paraId="3805E77B" w14:textId="77777777" w:rsidR="008B1DC1" w:rsidRDefault="004B13E4" w:rsidP="008B1DC1">
      <w:r w:rsidRPr="004342F4">
        <w:t xml:space="preserve">U razdoblju od </w:t>
      </w:r>
      <w:r>
        <w:t>16.</w:t>
      </w:r>
      <w:r w:rsidR="00516D77">
        <w:t xml:space="preserve"> studenog </w:t>
      </w:r>
      <w:r>
        <w:t>2022.</w:t>
      </w:r>
      <w:r w:rsidRPr="004342F4">
        <w:t xml:space="preserve"> do </w:t>
      </w:r>
      <w:r>
        <w:t>2.</w:t>
      </w:r>
      <w:r w:rsidR="00516D77">
        <w:t xml:space="preserve"> prosinca </w:t>
      </w:r>
      <w:r>
        <w:t>2022</w:t>
      </w:r>
      <w:r w:rsidRPr="004342F4">
        <w:t xml:space="preserve"> godine</w:t>
      </w:r>
      <w:r w:rsidR="008B1DC1">
        <w:t>,</w:t>
      </w:r>
      <w:r w:rsidR="008B1DC1" w:rsidRPr="00F34C2D">
        <w:t xml:space="preserve"> o Nacrtu prijedloga Nacionalnog plana</w:t>
      </w:r>
      <w:r w:rsidR="00DC56B8">
        <w:t xml:space="preserve">, nositelj izrade </w:t>
      </w:r>
      <w:r w:rsidR="008B1DC1" w:rsidRPr="00F34C2D">
        <w:t>prove</w:t>
      </w:r>
      <w:r w:rsidR="00DC56B8">
        <w:t>o</w:t>
      </w:r>
      <w:r w:rsidR="008B1DC1" w:rsidRPr="00F34C2D">
        <w:t xml:space="preserve"> </w:t>
      </w:r>
      <w:r w:rsidR="00516D77">
        <w:t xml:space="preserve">je </w:t>
      </w:r>
      <w:r w:rsidR="008B1DC1">
        <w:t xml:space="preserve">skraćeni postupak javnog </w:t>
      </w:r>
      <w:r w:rsidR="008B1DC1" w:rsidRPr="00F34C2D">
        <w:t>savjetovanj</w:t>
      </w:r>
      <w:r w:rsidR="008B1DC1">
        <w:t>a</w:t>
      </w:r>
      <w:r w:rsidR="008B1DC1" w:rsidRPr="00F34C2D">
        <w:t xml:space="preserve"> </w:t>
      </w:r>
      <w:r w:rsidR="008B1DC1">
        <w:t>s</w:t>
      </w:r>
      <w:r w:rsidR="008B1DC1" w:rsidRPr="00F34C2D">
        <w:t>a</w:t>
      </w:r>
      <w:r w:rsidR="008B1DC1">
        <w:t xml:space="preserve"> </w:t>
      </w:r>
      <w:r w:rsidR="008B1DC1" w:rsidRPr="00F34C2D">
        <w:t xml:space="preserve">zainteresiranom javnošću u trajanju od </w:t>
      </w:r>
      <w:r w:rsidR="008B1DC1">
        <w:t>15</w:t>
      </w:r>
      <w:r w:rsidR="008B1DC1" w:rsidRPr="00F34C2D">
        <w:t xml:space="preserve"> dan</w:t>
      </w:r>
      <w:r w:rsidR="008B1DC1">
        <w:t>a</w:t>
      </w:r>
      <w:r w:rsidR="00DC56B8">
        <w:t>. U postupak</w:t>
      </w:r>
      <w:r w:rsidR="00131115">
        <w:t xml:space="preserve"> javnog savjetovanja</w:t>
      </w:r>
      <w:r w:rsidR="008B1DC1">
        <w:t xml:space="preserve"> </w:t>
      </w:r>
      <w:r w:rsidR="00131115">
        <w:t>uključeni</w:t>
      </w:r>
      <w:r w:rsidR="008B1DC1">
        <w:t xml:space="preserve"> su </w:t>
      </w:r>
      <w:r w:rsidR="00131115">
        <w:t xml:space="preserve">svi </w:t>
      </w:r>
      <w:r w:rsidR="008B1DC1">
        <w:t xml:space="preserve">dionici </w:t>
      </w:r>
      <w:r w:rsidR="00131115">
        <w:t xml:space="preserve">razvoja </w:t>
      </w:r>
      <w:r w:rsidR="008B1DC1">
        <w:t>željezničkog prometa</w:t>
      </w:r>
      <w:r w:rsidR="008B1DC1" w:rsidRPr="008943DB">
        <w:t xml:space="preserve"> poput gospodarskih udruženja i socijalnih partnera, akademske i znanstvene zajednice, organizacija civilnog društva te zainteresirane javnosti</w:t>
      </w:r>
      <w:r w:rsidR="00131115">
        <w:t xml:space="preserve">, </w:t>
      </w:r>
      <w:r w:rsidR="00516D77">
        <w:t xml:space="preserve">a </w:t>
      </w:r>
      <w:r w:rsidR="00131115">
        <w:t>putem kojeg su dali svoj doprinos</w:t>
      </w:r>
      <w:r w:rsidR="008B1DC1" w:rsidRPr="008943DB">
        <w:t xml:space="preserve"> izrad</w:t>
      </w:r>
      <w:r w:rsidR="00131115">
        <w:t>i</w:t>
      </w:r>
      <w:r w:rsidR="008B1DC1" w:rsidRPr="008943DB">
        <w:t xml:space="preserve"> </w:t>
      </w:r>
      <w:r w:rsidR="008B1DC1">
        <w:t xml:space="preserve">Nacionalnog plana. </w:t>
      </w:r>
    </w:p>
    <w:p w14:paraId="558E39D1" w14:textId="77777777" w:rsidR="00722F46" w:rsidRDefault="00722F46" w:rsidP="00722F46"/>
    <w:p w14:paraId="4C4CE27D" w14:textId="77777777" w:rsidR="007E7E9E" w:rsidRPr="007E7E9E" w:rsidRDefault="007E7E9E" w:rsidP="00001FEA">
      <w:pPr>
        <w:keepNext/>
        <w:numPr>
          <w:ilvl w:val="1"/>
          <w:numId w:val="1"/>
        </w:numPr>
        <w:spacing w:line="240" w:lineRule="auto"/>
        <w:ind w:firstLine="0"/>
        <w:outlineLvl w:val="1"/>
        <w:rPr>
          <w:b/>
          <w:i/>
          <w:color w:val="00338D"/>
          <w:sz w:val="24"/>
          <w:lang w:eastAsia="en-US"/>
        </w:rPr>
      </w:pPr>
      <w:bookmarkStart w:id="9" w:name="_Toc109640079"/>
      <w:bookmarkStart w:id="10" w:name="_Toc122335617"/>
      <w:r w:rsidRPr="007E7E9E">
        <w:rPr>
          <w:b/>
          <w:i/>
          <w:color w:val="00338D"/>
          <w:sz w:val="24"/>
          <w:lang w:eastAsia="en-US"/>
        </w:rPr>
        <w:t>Iskustva stečena ranije provedenim procesima strateškog planiranja</w:t>
      </w:r>
      <w:bookmarkEnd w:id="9"/>
      <w:bookmarkEnd w:id="10"/>
    </w:p>
    <w:p w14:paraId="3C99ADE7" w14:textId="77777777" w:rsidR="007E7E9E" w:rsidRPr="007E7E9E" w:rsidRDefault="007E7E9E" w:rsidP="00001FEA">
      <w:pPr>
        <w:spacing w:after="0" w:line="240" w:lineRule="auto"/>
        <w:rPr>
          <w:rFonts w:cs="Arial"/>
          <w:color w:val="000000"/>
          <w:sz w:val="20"/>
          <w:szCs w:val="20"/>
          <w:lang w:eastAsia="en-US"/>
        </w:rPr>
      </w:pPr>
    </w:p>
    <w:p w14:paraId="6EB13E3F" w14:textId="77777777" w:rsidR="008B1DC1" w:rsidRPr="007E7E9E" w:rsidRDefault="008B1DC1" w:rsidP="008B1DC1">
      <w:pPr>
        <w:rPr>
          <w:rFonts w:cs="Arial"/>
        </w:rPr>
      </w:pPr>
      <w:r w:rsidRPr="007E7E9E">
        <w:rPr>
          <w:rFonts w:cs="Arial"/>
        </w:rPr>
        <w:t xml:space="preserve">U procesu izrade Nacionalnog plana, </w:t>
      </w:r>
      <w:r>
        <w:rPr>
          <w:rFonts w:cs="Arial"/>
        </w:rPr>
        <w:t>proveden</w:t>
      </w:r>
      <w:r w:rsidRPr="007E7E9E">
        <w:rPr>
          <w:rFonts w:cs="Arial"/>
        </w:rPr>
        <w:t xml:space="preserve"> je pregled i oc</w:t>
      </w:r>
      <w:r>
        <w:rPr>
          <w:rFonts w:cs="Arial"/>
        </w:rPr>
        <w:t>i</w:t>
      </w:r>
      <w:r w:rsidRPr="007E7E9E">
        <w:rPr>
          <w:rFonts w:cs="Arial"/>
        </w:rPr>
        <w:t>je</w:t>
      </w:r>
      <w:r>
        <w:rPr>
          <w:rFonts w:cs="Arial"/>
        </w:rPr>
        <w:t>njeno je</w:t>
      </w:r>
      <w:r w:rsidRPr="007E7E9E">
        <w:rPr>
          <w:rFonts w:cs="Arial"/>
        </w:rPr>
        <w:t xml:space="preserve"> stanj</w:t>
      </w:r>
      <w:r>
        <w:rPr>
          <w:rFonts w:cs="Arial"/>
        </w:rPr>
        <w:t>e</w:t>
      </w:r>
      <w:r w:rsidRPr="007E7E9E">
        <w:rPr>
          <w:rFonts w:cs="Arial"/>
        </w:rPr>
        <w:t xml:space="preserve"> provedbe operativnih ciljeva i mjera Nacionalnog programa željezničke infrastrukture za razdoblje od 2016. do 2020. godine (dalje u tekstu: Nacionalni program) usmjerenih na razvoj željezničkog sektora. </w:t>
      </w:r>
    </w:p>
    <w:p w14:paraId="20ADF418" w14:textId="77777777" w:rsidR="008B1DC1" w:rsidRPr="007E7E9E" w:rsidRDefault="008B1DC1" w:rsidP="008B1DC1">
      <w:pPr>
        <w:rPr>
          <w:rFonts w:cs="Arial"/>
        </w:rPr>
      </w:pPr>
      <w:r w:rsidRPr="001E1E14">
        <w:rPr>
          <w:rFonts w:cs="Arial"/>
        </w:rPr>
        <w:t xml:space="preserve">Nacionalnim </w:t>
      </w:r>
      <w:r w:rsidR="00516D77">
        <w:rPr>
          <w:rFonts w:cs="Arial"/>
        </w:rPr>
        <w:t xml:space="preserve">su </w:t>
      </w:r>
      <w:r w:rsidRPr="001E1E14">
        <w:rPr>
          <w:rFonts w:cs="Arial"/>
        </w:rPr>
        <w:t xml:space="preserve">programom za razdoblje od 2016. do 2020. godine </w:t>
      </w:r>
      <w:r>
        <w:rPr>
          <w:rFonts w:cs="Arial"/>
        </w:rPr>
        <w:t xml:space="preserve">bili </w:t>
      </w:r>
      <w:r w:rsidRPr="001E1E14">
        <w:rPr>
          <w:rFonts w:cs="Arial"/>
        </w:rPr>
        <w:t>utvrđ</w:t>
      </w:r>
      <w:r>
        <w:rPr>
          <w:rFonts w:cs="Arial"/>
        </w:rPr>
        <w:t>eni</w:t>
      </w:r>
      <w:r w:rsidRPr="001E1E14">
        <w:rPr>
          <w:rFonts w:cs="Arial"/>
        </w:rPr>
        <w:t xml:space="preserve"> planovi izgradnje nove te osuvremenjivanj</w:t>
      </w:r>
      <w:r>
        <w:rPr>
          <w:rFonts w:cs="Arial"/>
        </w:rPr>
        <w:t>a</w:t>
      </w:r>
      <w:r w:rsidRPr="001E1E14">
        <w:rPr>
          <w:rFonts w:cs="Arial"/>
        </w:rPr>
        <w:t xml:space="preserve"> i održavanja postojeće željezničke mreže, određ</w:t>
      </w:r>
      <w:r>
        <w:rPr>
          <w:rFonts w:cs="Arial"/>
        </w:rPr>
        <w:t>eni su</w:t>
      </w:r>
      <w:r w:rsidRPr="001E1E14">
        <w:rPr>
          <w:rFonts w:cs="Arial"/>
        </w:rPr>
        <w:t xml:space="preserve"> prioriteti i dinamika realizacije te </w:t>
      </w:r>
      <w:r>
        <w:rPr>
          <w:rFonts w:cs="Arial"/>
        </w:rPr>
        <w:t xml:space="preserve">procijenjen iznos </w:t>
      </w:r>
      <w:r w:rsidRPr="001E1E14">
        <w:rPr>
          <w:rFonts w:cs="Arial"/>
        </w:rPr>
        <w:t xml:space="preserve">i </w:t>
      </w:r>
      <w:r>
        <w:rPr>
          <w:rFonts w:cs="Arial"/>
        </w:rPr>
        <w:t xml:space="preserve">utvrđeni potencijalni </w:t>
      </w:r>
      <w:r w:rsidRPr="001E1E14">
        <w:rPr>
          <w:rFonts w:cs="Arial"/>
        </w:rPr>
        <w:t xml:space="preserve">izvori </w:t>
      </w:r>
      <w:r>
        <w:rPr>
          <w:rFonts w:cs="Arial"/>
        </w:rPr>
        <w:t>potrebnih f</w:t>
      </w:r>
      <w:r w:rsidRPr="001E1E14">
        <w:rPr>
          <w:rFonts w:cs="Arial"/>
        </w:rPr>
        <w:t xml:space="preserve">inancijskih sredstava. Planirana ulaganja u osuvremenjivanje i izgradnju te održavanje željezničke infrastrukture okvirno </w:t>
      </w:r>
      <w:r>
        <w:rPr>
          <w:rFonts w:cs="Arial"/>
        </w:rPr>
        <w:t>su bil</w:t>
      </w:r>
      <w:r w:rsidR="00516D77">
        <w:rPr>
          <w:rFonts w:cs="Arial"/>
        </w:rPr>
        <w:t>a</w:t>
      </w:r>
      <w:r>
        <w:rPr>
          <w:rFonts w:cs="Arial"/>
        </w:rPr>
        <w:t xml:space="preserve"> procijenjen</w:t>
      </w:r>
      <w:r w:rsidR="00516D77">
        <w:rPr>
          <w:rFonts w:cs="Arial"/>
        </w:rPr>
        <w:t>a</w:t>
      </w:r>
      <w:r>
        <w:rPr>
          <w:rFonts w:cs="Arial"/>
        </w:rPr>
        <w:t xml:space="preserve"> na </w:t>
      </w:r>
      <w:r w:rsidRPr="001E1E14">
        <w:rPr>
          <w:rFonts w:cs="Arial"/>
        </w:rPr>
        <w:t>17,20 milijardi kuna</w:t>
      </w:r>
      <w:r>
        <w:rPr>
          <w:rFonts w:cs="Arial"/>
        </w:rPr>
        <w:t xml:space="preserve">. </w:t>
      </w:r>
    </w:p>
    <w:p w14:paraId="4C7A0446" w14:textId="77777777" w:rsidR="008B1DC1" w:rsidRPr="007E7E9E" w:rsidRDefault="008B1DC1" w:rsidP="008B1DC1">
      <w:pPr>
        <w:rPr>
          <w:rFonts w:cs="Arial"/>
        </w:rPr>
      </w:pPr>
      <w:r w:rsidRPr="007E7E9E">
        <w:rPr>
          <w:rFonts w:cs="Arial"/>
        </w:rPr>
        <w:t xml:space="preserve">Nacionalnim </w:t>
      </w:r>
      <w:r w:rsidR="00516D77">
        <w:rPr>
          <w:rFonts w:cs="Arial"/>
        </w:rPr>
        <w:t xml:space="preserve">je </w:t>
      </w:r>
      <w:r w:rsidRPr="007E7E9E">
        <w:rPr>
          <w:rFonts w:cs="Arial"/>
        </w:rPr>
        <w:t xml:space="preserve">programom utvrđeno 14 operativnih ciljeva (raspoređenih u </w:t>
      </w:r>
      <w:r w:rsidR="007C1F1D">
        <w:rPr>
          <w:rFonts w:cs="Arial"/>
        </w:rPr>
        <w:t>četiri</w:t>
      </w:r>
      <w:r w:rsidRPr="007E7E9E">
        <w:rPr>
          <w:rFonts w:cs="Arial"/>
        </w:rPr>
        <w:t xml:space="preserve"> </w:t>
      </w:r>
      <w:r w:rsidR="007C1F1D">
        <w:rPr>
          <w:rFonts w:cs="Arial"/>
        </w:rPr>
        <w:t>skupine</w:t>
      </w:r>
      <w:r w:rsidRPr="007E7E9E">
        <w:rPr>
          <w:rFonts w:cs="Arial"/>
        </w:rPr>
        <w:t>: gospodarski, financijski, tehničko-tehnološki i ciljevi u službi usluge)</w:t>
      </w:r>
      <w:r w:rsidRPr="007E7E9E">
        <w:t xml:space="preserve"> </w:t>
      </w:r>
      <w:r w:rsidRPr="007E7E9E">
        <w:rPr>
          <w:rFonts w:cs="Arial"/>
        </w:rPr>
        <w:t xml:space="preserve">i 33 mjere za njihovu provedbu. Operativni ciljevi utvrđeni </w:t>
      </w:r>
      <w:r w:rsidR="007C1F1D">
        <w:rPr>
          <w:rFonts w:cs="Arial"/>
        </w:rPr>
        <w:t xml:space="preserve">su </w:t>
      </w:r>
      <w:r w:rsidRPr="007E7E9E">
        <w:rPr>
          <w:rFonts w:cs="Arial"/>
        </w:rPr>
        <w:t xml:space="preserve">u skladu </w:t>
      </w:r>
      <w:r w:rsidR="007C1F1D">
        <w:rPr>
          <w:rFonts w:cs="Arial"/>
        </w:rPr>
        <w:t xml:space="preserve">s </w:t>
      </w:r>
      <w:r w:rsidRPr="007E7E9E">
        <w:rPr>
          <w:rFonts w:cs="Arial"/>
        </w:rPr>
        <w:t xml:space="preserve">prioritetima u željezničkom prometnom </w:t>
      </w:r>
      <w:r w:rsidRPr="007E7E9E">
        <w:rPr>
          <w:rFonts w:cs="Arial"/>
        </w:rPr>
        <w:lastRenderedPageBreak/>
        <w:t xml:space="preserve">sektoru RH prema Strategiji prometnog razvoja Republike Hrvatske za razdoblje od 2014. do 2030. godine. </w:t>
      </w:r>
    </w:p>
    <w:p w14:paraId="0002DD2E" w14:textId="77777777" w:rsidR="008B1DC1" w:rsidRPr="007E7E9E" w:rsidRDefault="00131115" w:rsidP="008B1DC1">
      <w:pPr>
        <w:rPr>
          <w:rFonts w:cs="Arial"/>
        </w:rPr>
      </w:pPr>
      <w:r>
        <w:rPr>
          <w:rFonts w:cs="Arial"/>
        </w:rPr>
        <w:t>Temeljem p</w:t>
      </w:r>
      <w:r w:rsidR="008B1DC1" w:rsidRPr="007E7E9E">
        <w:rPr>
          <w:rFonts w:cs="Arial"/>
        </w:rPr>
        <w:t>roveden</w:t>
      </w:r>
      <w:r>
        <w:rPr>
          <w:rFonts w:cs="Arial"/>
        </w:rPr>
        <w:t>og</w:t>
      </w:r>
      <w:r w:rsidR="008B1DC1" w:rsidRPr="007E7E9E">
        <w:rPr>
          <w:rFonts w:cs="Arial"/>
        </w:rPr>
        <w:t xml:space="preserve"> pregled</w:t>
      </w:r>
      <w:r>
        <w:rPr>
          <w:rFonts w:cs="Arial"/>
        </w:rPr>
        <w:t>a</w:t>
      </w:r>
      <w:r w:rsidR="008B1DC1" w:rsidRPr="007E7E9E">
        <w:rPr>
          <w:rFonts w:cs="Arial"/>
        </w:rPr>
        <w:t xml:space="preserve"> utvrđeno</w:t>
      </w:r>
      <w:r>
        <w:rPr>
          <w:rFonts w:cs="Arial"/>
        </w:rPr>
        <w:t xml:space="preserve"> je</w:t>
      </w:r>
      <w:r w:rsidR="008B1DC1" w:rsidRPr="007E7E9E">
        <w:rPr>
          <w:rFonts w:cs="Arial"/>
        </w:rPr>
        <w:t xml:space="preserve"> kako su postignuta samo </w:t>
      </w:r>
      <w:r w:rsidR="007C1F1D">
        <w:rPr>
          <w:rFonts w:cs="Arial"/>
        </w:rPr>
        <w:t>dva</w:t>
      </w:r>
      <w:r w:rsidR="008B1DC1" w:rsidRPr="007E7E9E">
        <w:rPr>
          <w:rFonts w:cs="Arial"/>
        </w:rPr>
        <w:t xml:space="preserve"> cilja (14,28</w:t>
      </w:r>
      <w:r w:rsidR="007C1F1D">
        <w:rPr>
          <w:rFonts w:cs="Arial"/>
        </w:rPr>
        <w:t xml:space="preserve"> </w:t>
      </w:r>
      <w:r w:rsidR="008B1DC1" w:rsidRPr="007E7E9E">
        <w:rPr>
          <w:rFonts w:cs="Arial"/>
        </w:rPr>
        <w:t xml:space="preserve">%), provedene su samo </w:t>
      </w:r>
      <w:r w:rsidR="007C1F1D">
        <w:rPr>
          <w:rFonts w:cs="Arial"/>
        </w:rPr>
        <w:t>tri</w:t>
      </w:r>
      <w:r w:rsidR="008B1DC1" w:rsidRPr="007E7E9E">
        <w:rPr>
          <w:rFonts w:cs="Arial"/>
        </w:rPr>
        <w:t xml:space="preserve"> mjere (9,09</w:t>
      </w:r>
      <w:r w:rsidR="007C1F1D">
        <w:rPr>
          <w:rFonts w:cs="Arial"/>
        </w:rPr>
        <w:t xml:space="preserve"> </w:t>
      </w:r>
      <w:r w:rsidR="008B1DC1" w:rsidRPr="007E7E9E">
        <w:rPr>
          <w:rFonts w:cs="Arial"/>
        </w:rPr>
        <w:t xml:space="preserve">%), u tijeku </w:t>
      </w:r>
      <w:r w:rsidR="008B1DC1">
        <w:rPr>
          <w:rFonts w:cs="Arial"/>
        </w:rPr>
        <w:t xml:space="preserve">je </w:t>
      </w:r>
      <w:r w:rsidR="008B1DC1" w:rsidRPr="007E7E9E">
        <w:rPr>
          <w:rFonts w:cs="Arial"/>
        </w:rPr>
        <w:t>provedba 17 mjera (51,51</w:t>
      </w:r>
      <w:r w:rsidR="007C1F1D">
        <w:rPr>
          <w:rFonts w:cs="Arial"/>
        </w:rPr>
        <w:t xml:space="preserve"> </w:t>
      </w:r>
      <w:r w:rsidR="008B1DC1" w:rsidRPr="007E7E9E">
        <w:rPr>
          <w:rFonts w:cs="Arial"/>
        </w:rPr>
        <w:t>%), provedba 13 mjera (39,39</w:t>
      </w:r>
      <w:r w:rsidR="007C1F1D">
        <w:rPr>
          <w:rFonts w:cs="Arial"/>
        </w:rPr>
        <w:t xml:space="preserve"> </w:t>
      </w:r>
      <w:r w:rsidR="008B1DC1" w:rsidRPr="007E7E9E">
        <w:rPr>
          <w:rFonts w:cs="Arial"/>
        </w:rPr>
        <w:t xml:space="preserve">%) nije </w:t>
      </w:r>
      <w:r w:rsidR="008B1DC1">
        <w:rPr>
          <w:rFonts w:cs="Arial"/>
        </w:rPr>
        <w:t xml:space="preserve">ni </w:t>
      </w:r>
      <w:r w:rsidR="008B1DC1" w:rsidRPr="007E7E9E">
        <w:rPr>
          <w:rFonts w:cs="Arial"/>
        </w:rPr>
        <w:t>pokrenuta ili status</w:t>
      </w:r>
      <w:r w:rsidR="008B1DC1">
        <w:rPr>
          <w:rFonts w:cs="Arial"/>
        </w:rPr>
        <w:t xml:space="preserve"> provedbe nije poznat</w:t>
      </w:r>
      <w:r w:rsidR="008B1DC1" w:rsidRPr="007E7E9E">
        <w:rPr>
          <w:rFonts w:cs="Arial"/>
        </w:rPr>
        <w:t xml:space="preserve">, </w:t>
      </w:r>
      <w:r w:rsidR="008B1DC1">
        <w:rPr>
          <w:rFonts w:cs="Arial"/>
        </w:rPr>
        <w:t>dok se</w:t>
      </w:r>
      <w:r w:rsidR="008B1DC1" w:rsidRPr="007E7E9E">
        <w:rPr>
          <w:rFonts w:cs="Arial"/>
        </w:rPr>
        <w:t xml:space="preserve"> od provedbe </w:t>
      </w:r>
      <w:r w:rsidR="007C1F1D">
        <w:rPr>
          <w:rFonts w:cs="Arial"/>
        </w:rPr>
        <w:t>jedne</w:t>
      </w:r>
      <w:r w:rsidR="008B1DC1" w:rsidRPr="007E7E9E">
        <w:rPr>
          <w:rFonts w:cs="Arial"/>
        </w:rPr>
        <w:t xml:space="preserve"> </w:t>
      </w:r>
      <w:r w:rsidR="008B1DC1">
        <w:rPr>
          <w:rFonts w:cs="Arial"/>
        </w:rPr>
        <w:t xml:space="preserve">utvrđene </w:t>
      </w:r>
      <w:r w:rsidR="008B1DC1" w:rsidRPr="007E7E9E">
        <w:rPr>
          <w:rFonts w:cs="Arial"/>
        </w:rPr>
        <w:t xml:space="preserve">mjere odustalo. </w:t>
      </w:r>
    </w:p>
    <w:p w14:paraId="08EBE8D5" w14:textId="77777777" w:rsidR="008B1DC1" w:rsidRPr="007E7E9E" w:rsidRDefault="008B1DC1" w:rsidP="008B1DC1">
      <w:pPr>
        <w:rPr>
          <w:rFonts w:cs="Arial"/>
        </w:rPr>
      </w:pPr>
      <w:r w:rsidRPr="007E7E9E">
        <w:rPr>
          <w:rFonts w:cs="Arial"/>
        </w:rPr>
        <w:t>Poda</w:t>
      </w:r>
      <w:r w:rsidR="000A5C6F">
        <w:rPr>
          <w:rFonts w:cs="Arial"/>
        </w:rPr>
        <w:t>t</w:t>
      </w:r>
      <w:r w:rsidRPr="007E7E9E">
        <w:rPr>
          <w:rFonts w:cs="Arial"/>
        </w:rPr>
        <w:t xml:space="preserve">ci dobiveni pregledom provedbe Nacionalnog programa ukazali su na potrebu kvalitetnijeg </w:t>
      </w:r>
      <w:r>
        <w:rPr>
          <w:rFonts w:cs="Arial"/>
        </w:rPr>
        <w:t>strateškog</w:t>
      </w:r>
      <w:r w:rsidRPr="007E7E9E">
        <w:rPr>
          <w:rFonts w:cs="Arial"/>
        </w:rPr>
        <w:t xml:space="preserve"> planiranja </w:t>
      </w:r>
      <w:r>
        <w:rPr>
          <w:rFonts w:cs="Arial"/>
        </w:rPr>
        <w:t xml:space="preserve">prilikom izrade politika razvoja željezničkog sustava </w:t>
      </w:r>
      <w:r w:rsidRPr="007E7E9E">
        <w:rPr>
          <w:rFonts w:cs="Arial"/>
        </w:rPr>
        <w:t xml:space="preserve">u budućnosti uz </w:t>
      </w:r>
      <w:r>
        <w:rPr>
          <w:rFonts w:cs="Arial"/>
        </w:rPr>
        <w:t xml:space="preserve">pravovremeno </w:t>
      </w:r>
      <w:r w:rsidR="00131115">
        <w:rPr>
          <w:rFonts w:cs="Arial"/>
        </w:rPr>
        <w:t xml:space="preserve">i transparentno </w:t>
      </w:r>
      <w:r>
        <w:rPr>
          <w:rFonts w:cs="Arial"/>
        </w:rPr>
        <w:t xml:space="preserve">planiranje odgovarajućih sredstava za provedbu i </w:t>
      </w:r>
      <w:r w:rsidR="00131115">
        <w:rPr>
          <w:rFonts w:cs="Arial"/>
        </w:rPr>
        <w:t xml:space="preserve">osiguravanje uvjeta za </w:t>
      </w:r>
      <w:r>
        <w:rPr>
          <w:rFonts w:cs="Arial"/>
        </w:rPr>
        <w:t>sustavno</w:t>
      </w:r>
      <w:r w:rsidRPr="007E7E9E">
        <w:rPr>
          <w:rFonts w:cs="Arial"/>
        </w:rPr>
        <w:t xml:space="preserve"> praćenje</w:t>
      </w:r>
      <w:r>
        <w:rPr>
          <w:rFonts w:cs="Arial"/>
        </w:rPr>
        <w:t xml:space="preserve"> i izvještavanje o uspješnosti u</w:t>
      </w:r>
      <w:r w:rsidRPr="007E7E9E">
        <w:rPr>
          <w:rFonts w:cs="Arial"/>
        </w:rPr>
        <w:t xml:space="preserve"> </w:t>
      </w:r>
      <w:r>
        <w:rPr>
          <w:rFonts w:cs="Arial"/>
        </w:rPr>
        <w:t xml:space="preserve">provedbi ciljeva </w:t>
      </w:r>
      <w:r w:rsidR="00131115">
        <w:rPr>
          <w:rFonts w:cs="Arial"/>
        </w:rPr>
        <w:t>javnih politika</w:t>
      </w:r>
      <w:r w:rsidRPr="007E7E9E">
        <w:rPr>
          <w:rFonts w:cs="Arial"/>
        </w:rPr>
        <w:t xml:space="preserve"> </w:t>
      </w:r>
      <w:r>
        <w:rPr>
          <w:rFonts w:cs="Arial"/>
        </w:rPr>
        <w:t>te pravodobno</w:t>
      </w:r>
      <w:r w:rsidRPr="007E7E9E">
        <w:rPr>
          <w:rFonts w:cs="Arial"/>
        </w:rPr>
        <w:t xml:space="preserve"> utvrđivanje korektivnih mjera za otklanjanje uočenih zastoja u provedbi. </w:t>
      </w:r>
    </w:p>
    <w:p w14:paraId="5D4FF2EB" w14:textId="77777777" w:rsidR="00995697" w:rsidRDefault="00995697" w:rsidP="00001FEA"/>
    <w:p w14:paraId="5F270A3E" w14:textId="77777777" w:rsidR="001C06E8" w:rsidRDefault="001C06E8" w:rsidP="00001FEA">
      <w:pPr>
        <w:pStyle w:val="Naslov2"/>
        <w:ind w:left="0" w:firstLine="0"/>
      </w:pPr>
      <w:bookmarkStart w:id="11" w:name="_Toc122335618"/>
      <w:r>
        <w:t>Sadržaj Nacionalnog plana</w:t>
      </w:r>
      <w:bookmarkEnd w:id="11"/>
    </w:p>
    <w:p w14:paraId="77C0CA55" w14:textId="77777777" w:rsidR="008B1DC1" w:rsidRDefault="008B1DC1" w:rsidP="008B1DC1">
      <w:r>
        <w:t>Nacionalni plan</w:t>
      </w:r>
      <w:r w:rsidRPr="006E30EF">
        <w:t xml:space="preserve"> započinje </w:t>
      </w:r>
      <w:r>
        <w:t>analizom stanja u upravljanju javnim željezničkim društvima te  analizom stanja putničkog i teretnog prijevoza s prikazom k</w:t>
      </w:r>
      <w:r w:rsidRPr="00C75E37">
        <w:t>riterij</w:t>
      </w:r>
      <w:r>
        <w:t>a</w:t>
      </w:r>
      <w:r w:rsidRPr="00C75E37">
        <w:t xml:space="preserve"> i neophodn</w:t>
      </w:r>
      <w:r>
        <w:t>e</w:t>
      </w:r>
      <w:r w:rsidRPr="00C75E37">
        <w:t xml:space="preserve"> razin</w:t>
      </w:r>
      <w:r>
        <w:t xml:space="preserve">e </w:t>
      </w:r>
      <w:r w:rsidRPr="00C75E37">
        <w:t>uslug</w:t>
      </w:r>
      <w:r>
        <w:t>a</w:t>
      </w:r>
      <w:r w:rsidRPr="00C75E37">
        <w:t xml:space="preserve"> </w:t>
      </w:r>
      <w:r>
        <w:t xml:space="preserve">(Poglavlje </w:t>
      </w:r>
      <w:r>
        <w:fldChar w:fldCharType="begin"/>
      </w:r>
      <w:r>
        <w:instrText xml:space="preserve"> REF _Ref115871951 \r \h </w:instrText>
      </w:r>
      <w:r>
        <w:fldChar w:fldCharType="separate"/>
      </w:r>
      <w:r w:rsidR="00CB667E">
        <w:t>2</w:t>
      </w:r>
      <w:r>
        <w:fldChar w:fldCharType="end"/>
      </w:r>
      <w:r>
        <w:t>)</w:t>
      </w:r>
      <w:r w:rsidR="007C1F1D">
        <w:t>;</w:t>
      </w:r>
      <w:r>
        <w:t xml:space="preserve"> prikazom srednjoročne</w:t>
      </w:r>
      <w:r w:rsidRPr="006E30EF">
        <w:t xml:space="preserve"> vizije </w:t>
      </w:r>
      <w:r>
        <w:t>razvoja usluga i upravljanja željezničkom infrastrukturom i uslužnim objektima</w:t>
      </w:r>
      <w:r w:rsidRPr="006E30EF">
        <w:t xml:space="preserve"> (Poglavlje </w:t>
      </w:r>
      <w:r>
        <w:fldChar w:fldCharType="begin"/>
      </w:r>
      <w:r>
        <w:instrText xml:space="preserve"> REF _Ref115871959 \r \h </w:instrText>
      </w:r>
      <w:r>
        <w:fldChar w:fldCharType="separate"/>
      </w:r>
      <w:r w:rsidR="00CB667E">
        <w:t>3</w:t>
      </w:r>
      <w:r>
        <w:fldChar w:fldCharType="end"/>
      </w:r>
      <w:r w:rsidRPr="006E30EF">
        <w:t>)</w:t>
      </w:r>
      <w:r w:rsidR="007C1F1D">
        <w:t>;</w:t>
      </w:r>
      <w:r w:rsidRPr="006E30EF">
        <w:t xml:space="preserve"> potom ističe </w:t>
      </w:r>
      <w:r>
        <w:t xml:space="preserve">srednjoročne </w:t>
      </w:r>
      <w:r w:rsidRPr="006E30EF">
        <w:t xml:space="preserve">razvojne potrebe i razvojne potencijale željezničkog sustava (Poglavlje </w:t>
      </w:r>
      <w:r>
        <w:fldChar w:fldCharType="begin"/>
      </w:r>
      <w:r>
        <w:instrText xml:space="preserve"> REF _Ref115871969 \r \h </w:instrText>
      </w:r>
      <w:r>
        <w:fldChar w:fldCharType="separate"/>
      </w:r>
      <w:r w:rsidR="00CB667E">
        <w:t>4</w:t>
      </w:r>
      <w:r>
        <w:fldChar w:fldCharType="end"/>
      </w:r>
      <w:r w:rsidRPr="006E30EF">
        <w:t>) nakon čega se utvrđuj</w:t>
      </w:r>
      <w:r>
        <w:t>u prioriteti javne politike u srednjoročnom razdoblju</w:t>
      </w:r>
      <w:r w:rsidRPr="006E30EF">
        <w:t xml:space="preserve"> (Poglavlje </w:t>
      </w:r>
      <w:r>
        <w:fldChar w:fldCharType="begin"/>
      </w:r>
      <w:r>
        <w:instrText xml:space="preserve"> REF _Ref115871975 \r \h </w:instrText>
      </w:r>
      <w:r>
        <w:fldChar w:fldCharType="separate"/>
      </w:r>
      <w:r w:rsidR="00CB667E">
        <w:t>5</w:t>
      </w:r>
      <w:r>
        <w:fldChar w:fldCharType="end"/>
      </w:r>
      <w:r w:rsidRPr="006E30EF">
        <w:t xml:space="preserve">). U nastavku se navode </w:t>
      </w:r>
      <w:r>
        <w:t>posebni</w:t>
      </w:r>
      <w:r w:rsidRPr="006E30EF">
        <w:t xml:space="preserve"> ciljevi kojima </w:t>
      </w:r>
      <w:r>
        <w:t xml:space="preserve">će </w:t>
      </w:r>
      <w:r w:rsidRPr="006E30EF">
        <w:t>se ostvari</w:t>
      </w:r>
      <w:r>
        <w:t>ti</w:t>
      </w:r>
      <w:r w:rsidRPr="006E30EF">
        <w:t xml:space="preserve"> </w:t>
      </w:r>
      <w:r>
        <w:t>srednjoročna</w:t>
      </w:r>
      <w:r w:rsidRPr="006E30EF">
        <w:t xml:space="preserve"> vizija</w:t>
      </w:r>
      <w:r>
        <w:t xml:space="preserve"> razvoja (Poglavlje </w:t>
      </w:r>
      <w:r>
        <w:fldChar w:fldCharType="begin"/>
      </w:r>
      <w:r>
        <w:instrText xml:space="preserve"> REF _Ref115871999 \r \h </w:instrText>
      </w:r>
      <w:r>
        <w:fldChar w:fldCharType="separate"/>
      </w:r>
      <w:r w:rsidR="00CB667E">
        <w:t>6</w:t>
      </w:r>
      <w:r>
        <w:fldChar w:fldCharType="end"/>
      </w:r>
      <w:r>
        <w:t>),</w:t>
      </w:r>
      <w:r w:rsidRPr="006E30EF">
        <w:t xml:space="preserve"> </w:t>
      </w:r>
      <w:r w:rsidRPr="00DE0645">
        <w:t>a či</w:t>
      </w:r>
      <w:r>
        <w:t>ji</w:t>
      </w:r>
      <w:r w:rsidRPr="00DE0645">
        <w:t xml:space="preserve"> će se napredak pratiti odabranim pokazatelji</w:t>
      </w:r>
      <w:r>
        <w:t>ma</w:t>
      </w:r>
      <w:r w:rsidRPr="00DE0645">
        <w:t xml:space="preserve"> ishod</w:t>
      </w:r>
      <w:r>
        <w:t>a</w:t>
      </w:r>
      <w:r w:rsidRPr="00DE0645">
        <w:t xml:space="preserve">. </w:t>
      </w:r>
    </w:p>
    <w:p w14:paraId="3A1F089A" w14:textId="77777777" w:rsidR="008B1DC1" w:rsidRDefault="008B1DC1" w:rsidP="008B1DC1">
      <w:r>
        <w:t xml:space="preserve">U nastavku su procijenjeni iznosi za provedbu pojedinih posebnih ciljeva s planiranim izvorima financiranja (Poglavlje </w:t>
      </w:r>
      <w:r>
        <w:fldChar w:fldCharType="begin"/>
      </w:r>
      <w:r>
        <w:instrText xml:space="preserve"> REF _Ref115872047 \r \h </w:instrText>
      </w:r>
      <w:r>
        <w:fldChar w:fldCharType="separate"/>
      </w:r>
      <w:r w:rsidR="00CB667E">
        <w:t>7</w:t>
      </w:r>
      <w:r>
        <w:fldChar w:fldCharType="end"/>
      </w:r>
      <w:r>
        <w:t xml:space="preserve">). </w:t>
      </w:r>
      <w:r w:rsidR="00131115">
        <w:t xml:space="preserve">U </w:t>
      </w:r>
      <w:r w:rsidR="007C1F1D">
        <w:t>osmom poglavlju</w:t>
      </w:r>
      <w:r w:rsidR="00131115">
        <w:t xml:space="preserve"> utvrđen je okvir za praćenje i vrednovanje provedbe</w:t>
      </w:r>
      <w:r w:rsidR="00BD2FD4">
        <w:t xml:space="preserve"> Nacionalnog plana, odnosno postizanja</w:t>
      </w:r>
      <w:r w:rsidR="00131115">
        <w:t xml:space="preserve"> posebnih ciljeva i ispunjenja odabranih pokazatelja uspješnosti</w:t>
      </w:r>
      <w:r w:rsidR="00E824C3">
        <w:t>.</w:t>
      </w:r>
    </w:p>
    <w:p w14:paraId="5399E12C" w14:textId="20C082A9" w:rsidR="00492ACB" w:rsidRDefault="00492ACB" w:rsidP="008B1DC1">
      <w:bookmarkStart w:id="12" w:name="_Hlk116303158"/>
      <w:r w:rsidRPr="004342F4">
        <w:t>U Prilogu</w:t>
      </w:r>
      <w:r>
        <w:t xml:space="preserve"> 1</w:t>
      </w:r>
      <w:r w:rsidRPr="004342F4">
        <w:t xml:space="preserve"> nalazi </w:t>
      </w:r>
      <w:r w:rsidR="007C1F1D">
        <w:t xml:space="preserve">se </w:t>
      </w:r>
      <w:r w:rsidRPr="004342F4">
        <w:t xml:space="preserve">i Akcijski plan za razdoblje do 2024. godine za provedbu Nacionalnog plana. </w:t>
      </w:r>
      <w:bookmarkEnd w:id="12"/>
    </w:p>
    <w:p w14:paraId="51603E08" w14:textId="77777777" w:rsidR="007143A8" w:rsidRPr="00044742" w:rsidRDefault="007143A8" w:rsidP="00733EAC">
      <w:pPr>
        <w:rPr>
          <w:rFonts w:cs="Arial"/>
        </w:rPr>
      </w:pPr>
      <w:r w:rsidRPr="00044742">
        <w:rPr>
          <w:rFonts w:cs="Arial"/>
        </w:rPr>
        <w:br w:type="page"/>
      </w:r>
    </w:p>
    <w:p w14:paraId="7438AC11" w14:textId="77777777" w:rsidR="00222DAE" w:rsidRDefault="0002368C" w:rsidP="0002368C">
      <w:pPr>
        <w:pStyle w:val="Naslov1"/>
      </w:pPr>
      <w:bookmarkStart w:id="13" w:name="_Toc98404056"/>
      <w:bookmarkStart w:id="14" w:name="_Toc98410368"/>
      <w:bookmarkStart w:id="15" w:name="_Toc98410692"/>
      <w:bookmarkStart w:id="16" w:name="_Toc98572040"/>
      <w:bookmarkStart w:id="17" w:name="_Toc98572406"/>
      <w:bookmarkStart w:id="18" w:name="_Toc98657670"/>
      <w:bookmarkStart w:id="19" w:name="_Toc98664087"/>
      <w:bookmarkStart w:id="20" w:name="_Toc98664453"/>
      <w:bookmarkStart w:id="21" w:name="_Toc98760464"/>
      <w:bookmarkStart w:id="22" w:name="_Toc98767372"/>
      <w:bookmarkStart w:id="23" w:name="_Toc98404057"/>
      <w:bookmarkStart w:id="24" w:name="_Toc98410369"/>
      <w:bookmarkStart w:id="25" w:name="_Toc98410693"/>
      <w:bookmarkStart w:id="26" w:name="_Toc98572041"/>
      <w:bookmarkStart w:id="27" w:name="_Toc98572407"/>
      <w:bookmarkStart w:id="28" w:name="_Toc98657671"/>
      <w:bookmarkStart w:id="29" w:name="_Toc98664088"/>
      <w:bookmarkStart w:id="30" w:name="_Toc98664454"/>
      <w:bookmarkStart w:id="31" w:name="_Toc98760465"/>
      <w:bookmarkStart w:id="32" w:name="_Toc98767373"/>
      <w:bookmarkStart w:id="33" w:name="_Toc122335619"/>
      <w:bookmarkStart w:id="34" w:name="_Toc115987891"/>
      <w:bookmarkStart w:id="35" w:name="_Ref115871951"/>
      <w:bookmarkStart w:id="36" w:name="_Toc10431972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02368C">
        <w:lastRenderedPageBreak/>
        <w:t>Analiza stanja sustava upravljanja željezničkom infrastrukturom i pružanja usluga željezničkog prijevoza</w:t>
      </w:r>
      <w:bookmarkEnd w:id="33"/>
      <w:r>
        <w:t xml:space="preserve"> </w:t>
      </w:r>
    </w:p>
    <w:p w14:paraId="3D2E0F59" w14:textId="77777777" w:rsidR="00222DAE" w:rsidRPr="000165CD" w:rsidRDefault="00222DAE" w:rsidP="00222DAE">
      <w:r w:rsidRPr="000165CD">
        <w:t xml:space="preserve">U nastavku slijedi sažeti pregled upravljanja javnim željezničkim društvima u Republici Hrvatskoj te usluga u putničkom i teretnom željezničkom prijevozu temeljem čega su definirane razvojne potrebe i potencijali u sklopu ovog </w:t>
      </w:r>
      <w:r w:rsidR="000A5C6F">
        <w:t>N</w:t>
      </w:r>
      <w:r w:rsidRPr="000165CD">
        <w:t xml:space="preserve">acionalnog plana. </w:t>
      </w:r>
    </w:p>
    <w:p w14:paraId="2B0F96E2" w14:textId="77777777" w:rsidR="00222DAE" w:rsidRPr="000165CD" w:rsidRDefault="00222DAE" w:rsidP="0061264A">
      <w:pPr>
        <w:pStyle w:val="Tijeloteksta"/>
        <w:jc w:val="both"/>
      </w:pPr>
    </w:p>
    <w:p w14:paraId="101C35DE" w14:textId="77777777" w:rsidR="00222DAE" w:rsidRPr="000165CD" w:rsidRDefault="00222DAE" w:rsidP="00222DAE">
      <w:pPr>
        <w:pStyle w:val="Naslov2"/>
      </w:pPr>
      <w:bookmarkStart w:id="37" w:name="_Toc122335620"/>
      <w:r w:rsidRPr="000165CD">
        <w:t>Upravljanje javnim željezničkim društvima</w:t>
      </w:r>
      <w:bookmarkEnd w:id="37"/>
    </w:p>
    <w:p w14:paraId="254B505B" w14:textId="77777777" w:rsidR="00222DAE" w:rsidRDefault="00222DAE" w:rsidP="00222DAE">
      <w:pPr>
        <w:rPr>
          <w:rFonts w:cs="Arial"/>
        </w:rPr>
      </w:pPr>
      <w:r w:rsidRPr="000165CD">
        <w:rPr>
          <w:rFonts w:cs="Arial"/>
        </w:rPr>
        <w:t xml:space="preserve">Ocjena učinkovitosti upravljanja </w:t>
      </w:r>
      <w:r>
        <w:rPr>
          <w:rFonts w:cs="Arial"/>
        </w:rPr>
        <w:t xml:space="preserve">javnim </w:t>
      </w:r>
      <w:r w:rsidRPr="000165CD">
        <w:rPr>
          <w:rFonts w:cs="Arial"/>
        </w:rPr>
        <w:t xml:space="preserve">željezničkim društvima provedena </w:t>
      </w:r>
      <w:r w:rsidR="007C1F1D">
        <w:rPr>
          <w:rFonts w:cs="Arial"/>
        </w:rPr>
        <w:t xml:space="preserve">je </w:t>
      </w:r>
      <w:r w:rsidRPr="000165CD">
        <w:rPr>
          <w:rFonts w:cs="Arial"/>
        </w:rPr>
        <w:t xml:space="preserve">na temelju kretanja općih financijskih pokazatelja, investicija u razdoblju </w:t>
      </w:r>
      <w:r w:rsidR="00BC2D4E">
        <w:rPr>
          <w:rFonts w:cs="Arial"/>
        </w:rPr>
        <w:t xml:space="preserve">od </w:t>
      </w:r>
      <w:r w:rsidRPr="000165CD">
        <w:rPr>
          <w:rFonts w:cs="Arial"/>
        </w:rPr>
        <w:t xml:space="preserve">2018. </w:t>
      </w:r>
      <w:r w:rsidR="00BC2D4E">
        <w:rPr>
          <w:rFonts w:cs="Arial"/>
        </w:rPr>
        <w:t>do</w:t>
      </w:r>
      <w:r w:rsidR="00BC2D4E" w:rsidRPr="000165CD">
        <w:rPr>
          <w:rFonts w:cs="Arial"/>
        </w:rPr>
        <w:t xml:space="preserve"> </w:t>
      </w:r>
      <w:r w:rsidRPr="000165CD">
        <w:rPr>
          <w:rFonts w:cs="Arial"/>
        </w:rPr>
        <w:t>2020. godine te odgovarajućih naturalnih pokazatelja.</w:t>
      </w:r>
    </w:p>
    <w:p w14:paraId="55566A34" w14:textId="77777777" w:rsidR="00222DAE" w:rsidRDefault="00222DAE" w:rsidP="00222DAE">
      <w:pPr>
        <w:rPr>
          <w:rFonts w:cs="Arial"/>
        </w:rPr>
      </w:pPr>
      <w:r w:rsidRPr="000165CD">
        <w:rPr>
          <w:rFonts w:cs="Arial"/>
        </w:rPr>
        <w:t xml:space="preserve">Ostvarena produktivnost mjerena ukupnim prihodom po zaposlenom koristila se kao osnovni pokazatelj za sva tri društva </w:t>
      </w:r>
      <w:r w:rsidR="001120CB">
        <w:rPr>
          <w:rFonts w:cs="Arial"/>
        </w:rPr>
        <w:t xml:space="preserve">slijednica </w:t>
      </w:r>
      <w:r w:rsidRPr="000165CD">
        <w:rPr>
          <w:rFonts w:cs="Arial"/>
        </w:rPr>
        <w:t xml:space="preserve">Hrvatskih željeznica. Mada je ovaj pokazatelj </w:t>
      </w:r>
      <w:r w:rsidR="007C1F1D">
        <w:rPr>
          <w:rFonts w:cs="Arial"/>
        </w:rPr>
        <w:t>tijekom</w:t>
      </w:r>
      <w:r w:rsidR="007C1F1D" w:rsidRPr="000165CD">
        <w:rPr>
          <w:rFonts w:cs="Arial"/>
        </w:rPr>
        <w:t xml:space="preserve"> </w:t>
      </w:r>
      <w:r w:rsidRPr="000165CD">
        <w:rPr>
          <w:rFonts w:cs="Arial"/>
        </w:rPr>
        <w:t>godin</w:t>
      </w:r>
      <w:r w:rsidR="007C1F1D">
        <w:rPr>
          <w:rFonts w:cs="Arial"/>
        </w:rPr>
        <w:t>a</w:t>
      </w:r>
      <w:r w:rsidRPr="000165CD">
        <w:rPr>
          <w:rFonts w:cs="Arial"/>
        </w:rPr>
        <w:t xml:space="preserve"> fluktuirao, ipak je imao tendenciju pada. </w:t>
      </w:r>
      <w:r>
        <w:rPr>
          <w:rFonts w:cs="Arial"/>
        </w:rPr>
        <w:t>U</w:t>
      </w:r>
      <w:r w:rsidRPr="000165CD">
        <w:rPr>
          <w:rFonts w:cs="Arial"/>
        </w:rPr>
        <w:t xml:space="preserve"> </w:t>
      </w:r>
      <w:r w:rsidR="00BC2D4E">
        <w:rPr>
          <w:rFonts w:cs="Arial"/>
        </w:rPr>
        <w:t>razdoblju od</w:t>
      </w:r>
      <w:r w:rsidR="00BC2D4E" w:rsidRPr="000165CD">
        <w:rPr>
          <w:rFonts w:cs="Arial"/>
        </w:rPr>
        <w:t xml:space="preserve"> </w:t>
      </w:r>
      <w:r w:rsidRPr="000165CD">
        <w:rPr>
          <w:rFonts w:cs="Arial"/>
        </w:rPr>
        <w:t xml:space="preserve">2018. </w:t>
      </w:r>
      <w:r w:rsidR="00BC2D4E">
        <w:rPr>
          <w:rFonts w:cs="Arial"/>
        </w:rPr>
        <w:t>do</w:t>
      </w:r>
      <w:r w:rsidR="007C1F1D" w:rsidRPr="000165CD">
        <w:rPr>
          <w:rFonts w:cs="Arial"/>
        </w:rPr>
        <w:t xml:space="preserve"> </w:t>
      </w:r>
      <w:r w:rsidRPr="000165CD">
        <w:rPr>
          <w:rFonts w:cs="Arial"/>
        </w:rPr>
        <w:t xml:space="preserve">2020. pokazatelji ukupnog prihoda po zaposlenom u daljnjem </w:t>
      </w:r>
      <w:r w:rsidR="00BC2D4E">
        <w:rPr>
          <w:rFonts w:cs="Arial"/>
        </w:rPr>
        <w:t xml:space="preserve">su </w:t>
      </w:r>
      <w:r w:rsidRPr="000165CD">
        <w:rPr>
          <w:rFonts w:cs="Arial"/>
        </w:rPr>
        <w:t xml:space="preserve">padu ili stagnaciji u slučaju HŽ </w:t>
      </w:r>
      <w:proofErr w:type="spellStart"/>
      <w:r w:rsidRPr="000165CD">
        <w:rPr>
          <w:rFonts w:cs="Arial"/>
        </w:rPr>
        <w:t>Carg</w:t>
      </w:r>
      <w:r w:rsidR="00BC2D4E">
        <w:rPr>
          <w:rFonts w:cs="Arial"/>
        </w:rPr>
        <w:t>a</w:t>
      </w:r>
      <w:proofErr w:type="spellEnd"/>
      <w:r w:rsidRPr="000165CD">
        <w:rPr>
          <w:rFonts w:cs="Arial"/>
        </w:rPr>
        <w:t>. Ukupno ostvareni prihod po zaposlenom u RH za 2020. godinu iznosi 0,82 milijuna k</w:t>
      </w:r>
      <w:r w:rsidR="00BC2D4E">
        <w:rPr>
          <w:rFonts w:cs="Arial"/>
        </w:rPr>
        <w:t>u</w:t>
      </w:r>
      <w:r w:rsidRPr="000165CD">
        <w:rPr>
          <w:rFonts w:cs="Arial"/>
        </w:rPr>
        <w:t>n</w:t>
      </w:r>
      <w:r w:rsidR="00BC2D4E">
        <w:rPr>
          <w:rFonts w:cs="Arial"/>
        </w:rPr>
        <w:t>a</w:t>
      </w:r>
      <w:r w:rsidRPr="000165CD">
        <w:rPr>
          <w:rFonts w:cs="Arial"/>
        </w:rPr>
        <w:t xml:space="preserve">. Kada se taj podatak usporedi s ukupnim prihodom po zaposlenom u </w:t>
      </w:r>
      <w:r w:rsidR="001120CB">
        <w:rPr>
          <w:rFonts w:cs="Arial"/>
        </w:rPr>
        <w:t>javnim</w:t>
      </w:r>
      <w:r w:rsidRPr="000165CD">
        <w:rPr>
          <w:rFonts w:cs="Arial"/>
        </w:rPr>
        <w:t xml:space="preserve"> društvima</w:t>
      </w:r>
      <w:r w:rsidR="00BC2D4E">
        <w:rPr>
          <w:rFonts w:cs="Arial"/>
        </w:rPr>
        <w:t>,</w:t>
      </w:r>
      <w:r w:rsidRPr="000165CD">
        <w:rPr>
          <w:rFonts w:cs="Arial"/>
        </w:rPr>
        <w:t xml:space="preserve"> tada je vidljivo da ostvareni prihod po zaposlenom u HŽ </w:t>
      </w:r>
      <w:proofErr w:type="spellStart"/>
      <w:r w:rsidRPr="000165CD">
        <w:rPr>
          <w:rFonts w:cs="Arial"/>
        </w:rPr>
        <w:t>Carg</w:t>
      </w:r>
      <w:r w:rsidR="00BC2D4E">
        <w:rPr>
          <w:rFonts w:cs="Arial"/>
        </w:rPr>
        <w:t>u</w:t>
      </w:r>
      <w:proofErr w:type="spellEnd"/>
      <w:r w:rsidRPr="000165CD">
        <w:rPr>
          <w:rFonts w:cs="Arial"/>
        </w:rPr>
        <w:t xml:space="preserve"> čini 34,15</w:t>
      </w:r>
      <w:r w:rsidR="00BC2D4E">
        <w:rPr>
          <w:rFonts w:cs="Arial"/>
        </w:rPr>
        <w:t xml:space="preserve"> </w:t>
      </w:r>
      <w:r w:rsidRPr="000165CD">
        <w:rPr>
          <w:rFonts w:cs="Arial"/>
        </w:rPr>
        <w:t xml:space="preserve">% </w:t>
      </w:r>
      <w:r w:rsidR="001120CB">
        <w:rPr>
          <w:rFonts w:cs="Arial"/>
        </w:rPr>
        <w:t>državnog</w:t>
      </w:r>
      <w:r w:rsidRPr="000165CD">
        <w:rPr>
          <w:rFonts w:cs="Arial"/>
        </w:rPr>
        <w:t xml:space="preserve"> prosjeka, u HŽI</w:t>
      </w:r>
      <w:r w:rsidR="00BC2D4E">
        <w:rPr>
          <w:rFonts w:cs="Arial"/>
        </w:rPr>
        <w:t>-ju</w:t>
      </w:r>
      <w:r w:rsidRPr="000165CD">
        <w:rPr>
          <w:rFonts w:cs="Arial"/>
        </w:rPr>
        <w:t xml:space="preserve"> 30,48</w:t>
      </w:r>
      <w:r w:rsidR="00BC2D4E">
        <w:rPr>
          <w:rFonts w:cs="Arial"/>
        </w:rPr>
        <w:t xml:space="preserve"> </w:t>
      </w:r>
      <w:r w:rsidRPr="000165CD">
        <w:rPr>
          <w:rFonts w:cs="Arial"/>
        </w:rPr>
        <w:t>%, a u HŽPP</w:t>
      </w:r>
      <w:r w:rsidR="00BC2D4E">
        <w:rPr>
          <w:rFonts w:cs="Arial"/>
        </w:rPr>
        <w:t>-u</w:t>
      </w:r>
      <w:r w:rsidRPr="000165CD">
        <w:rPr>
          <w:rFonts w:cs="Arial"/>
        </w:rPr>
        <w:t xml:space="preserve"> 39,02</w:t>
      </w:r>
      <w:r w:rsidR="00BC2D4E">
        <w:rPr>
          <w:rFonts w:cs="Arial"/>
        </w:rPr>
        <w:t xml:space="preserve"> </w:t>
      </w:r>
      <w:r w:rsidRPr="000165CD">
        <w:rPr>
          <w:rFonts w:cs="Arial"/>
        </w:rPr>
        <w:t>%. Ostali opći financijski pokazatelji uspješnosti ukazuju na stalni pad pokazatelja tekuće likvidnosti, nepovoljne pokazatelje financijske stabilnosti, financijske zaduženosti i sporog obrtaja ukupne imovine.</w:t>
      </w:r>
    </w:p>
    <w:p w14:paraId="6F35411A" w14:textId="77777777" w:rsidR="00222DAE" w:rsidRDefault="00222DAE" w:rsidP="00222DAE">
      <w:pPr>
        <w:rPr>
          <w:rFonts w:cs="Arial"/>
        </w:rPr>
      </w:pPr>
      <w:r w:rsidRPr="000165CD">
        <w:rPr>
          <w:rFonts w:cs="Arial"/>
        </w:rPr>
        <w:t xml:space="preserve">Naturalni pokazatelji, komercijalna brzina vlakova i kašnjenja, koji su uzeti u obzir prilikom ocjene učinkovitosti varirali </w:t>
      </w:r>
      <w:r w:rsidR="00BC2D4E">
        <w:rPr>
          <w:rFonts w:cs="Arial"/>
        </w:rPr>
        <w:t xml:space="preserve">su </w:t>
      </w:r>
      <w:r w:rsidRPr="000165CD">
        <w:rPr>
          <w:rFonts w:cs="Arial"/>
        </w:rPr>
        <w:t xml:space="preserve">tijekom godina, ali se iz prikazanog može zaključiti da poduzete reforme nisu dale željene rezultate, tj. nisu pridonijele sveukupnom poboljšanju kvalitete usluge željezničkog sustava. Komercijalna brzina, kada je riječ o putničkim vlakovima, i dalje pada te u 2020. godini ona iznosi 45,57 km/h što je jedan od uzroka padu interesa za prijevoz putnika željeznicom. Kašnjenje vlakova u polasku i kašnjenje vlakova u putu putničkih vlakova u laganom </w:t>
      </w:r>
      <w:r w:rsidR="00BC2D4E">
        <w:rPr>
          <w:rFonts w:cs="Arial"/>
        </w:rPr>
        <w:t xml:space="preserve">je </w:t>
      </w:r>
      <w:r w:rsidRPr="000165CD">
        <w:rPr>
          <w:rFonts w:cs="Arial"/>
        </w:rPr>
        <w:t xml:space="preserve">opadanju. Kod teretnih vlakova zabilježen je porast minuta kašnjenja u polasku i na putu, a komercijalna brzina kreće </w:t>
      </w:r>
      <w:r w:rsidR="00BC2D4E">
        <w:rPr>
          <w:rFonts w:cs="Arial"/>
        </w:rPr>
        <w:t xml:space="preserve">se </w:t>
      </w:r>
      <w:r w:rsidRPr="000165CD">
        <w:rPr>
          <w:rFonts w:cs="Arial"/>
        </w:rPr>
        <w:t>oko samo 19 km/h.</w:t>
      </w:r>
    </w:p>
    <w:p w14:paraId="690F7815" w14:textId="5265D0EC" w:rsidR="0002368C" w:rsidRDefault="00222DAE" w:rsidP="0002368C">
      <w:pPr>
        <w:rPr>
          <w:rFonts w:cs="Arial"/>
        </w:rPr>
      </w:pPr>
      <w:r w:rsidRPr="000165CD">
        <w:rPr>
          <w:rFonts w:cs="Arial"/>
        </w:rPr>
        <w:t>P</w:t>
      </w:r>
      <w:r>
        <w:rPr>
          <w:rFonts w:cs="Arial"/>
        </w:rPr>
        <w:t>o pitanju p</w:t>
      </w:r>
      <w:r w:rsidRPr="000165CD">
        <w:rPr>
          <w:rFonts w:cs="Arial"/>
        </w:rPr>
        <w:t>laniranj</w:t>
      </w:r>
      <w:r>
        <w:rPr>
          <w:rFonts w:cs="Arial"/>
        </w:rPr>
        <w:t>a</w:t>
      </w:r>
      <w:r w:rsidRPr="000165CD">
        <w:rPr>
          <w:rFonts w:cs="Arial"/>
        </w:rPr>
        <w:t xml:space="preserve"> sektorskih ulaganja i financiranja</w:t>
      </w:r>
      <w:r>
        <w:rPr>
          <w:rFonts w:cs="Arial"/>
        </w:rPr>
        <w:t>, N</w:t>
      </w:r>
      <w:r w:rsidRPr="000165CD">
        <w:rPr>
          <w:rFonts w:cs="Arial"/>
        </w:rPr>
        <w:t>acionaln</w:t>
      </w:r>
      <w:r>
        <w:rPr>
          <w:rFonts w:cs="Arial"/>
        </w:rPr>
        <w:t>i</w:t>
      </w:r>
      <w:r w:rsidRPr="000165CD">
        <w:rPr>
          <w:rFonts w:cs="Arial"/>
        </w:rPr>
        <w:t xml:space="preserve"> program željezničke infrastrukture za razdoblje od 2016. do 2020</w:t>
      </w:r>
      <w:r w:rsidR="00A92C5A">
        <w:rPr>
          <w:rFonts w:cs="Arial"/>
        </w:rPr>
        <w:t>.</w:t>
      </w:r>
      <w:r w:rsidRPr="000165CD">
        <w:rPr>
          <w:rFonts w:cs="Arial"/>
        </w:rPr>
        <w:t xml:space="preserve"> predvi</w:t>
      </w:r>
      <w:r>
        <w:rPr>
          <w:rFonts w:cs="Arial"/>
        </w:rPr>
        <w:t>dio je ulaganja</w:t>
      </w:r>
      <w:r w:rsidRPr="000165CD">
        <w:rPr>
          <w:rFonts w:cs="Arial"/>
        </w:rPr>
        <w:t xml:space="preserve"> </w:t>
      </w:r>
      <w:r>
        <w:rPr>
          <w:rFonts w:cs="Arial"/>
        </w:rPr>
        <w:t>u željezničku infrastrukturu u cilju poboljšanja stanja željezničkog sustava te kao izvore financiranja</w:t>
      </w:r>
      <w:r w:rsidRPr="000165CD">
        <w:rPr>
          <w:rFonts w:cs="Arial"/>
        </w:rPr>
        <w:t xml:space="preserve"> </w:t>
      </w:r>
      <w:r>
        <w:rPr>
          <w:rFonts w:cs="Arial"/>
        </w:rPr>
        <w:t xml:space="preserve">naveo </w:t>
      </w:r>
      <w:r w:rsidRPr="000165CD">
        <w:rPr>
          <w:rFonts w:cs="Arial"/>
        </w:rPr>
        <w:t>državni proračun, fondov</w:t>
      </w:r>
      <w:r w:rsidR="00BC2D4E">
        <w:rPr>
          <w:rFonts w:cs="Arial"/>
        </w:rPr>
        <w:t>e</w:t>
      </w:r>
      <w:r w:rsidRPr="000165CD">
        <w:rPr>
          <w:rFonts w:cs="Arial"/>
        </w:rPr>
        <w:t xml:space="preserve"> Europske unije i sredstva Svjetske banke. Potencijalno raspoloživa planirana sredstva za infrastrukturne investicije od 17.206 milijuna </w:t>
      </w:r>
      <w:r w:rsidR="00BC2D4E">
        <w:rPr>
          <w:rFonts w:cs="Arial"/>
        </w:rPr>
        <w:t>kuna</w:t>
      </w:r>
      <w:r w:rsidRPr="000165CD">
        <w:rPr>
          <w:rFonts w:cs="Arial"/>
        </w:rPr>
        <w:t xml:space="preserve"> stvarno </w:t>
      </w:r>
      <w:r w:rsidR="00BC2D4E">
        <w:rPr>
          <w:rFonts w:cs="Arial"/>
        </w:rPr>
        <w:t xml:space="preserve">su </w:t>
      </w:r>
      <w:r w:rsidRPr="000165CD">
        <w:rPr>
          <w:rFonts w:cs="Arial"/>
        </w:rPr>
        <w:t>iskorištena tek u iznosu</w:t>
      </w:r>
      <w:r w:rsidR="00BC2D4E">
        <w:rPr>
          <w:rFonts w:cs="Arial"/>
        </w:rPr>
        <w:t xml:space="preserve"> od</w:t>
      </w:r>
      <w:r w:rsidRPr="000165CD">
        <w:rPr>
          <w:rFonts w:cs="Arial"/>
        </w:rPr>
        <w:t xml:space="preserve"> 4.149 milijuna </w:t>
      </w:r>
      <w:r w:rsidR="00BC2D4E">
        <w:rPr>
          <w:rFonts w:cs="Arial"/>
        </w:rPr>
        <w:t>kuna</w:t>
      </w:r>
      <w:r w:rsidRPr="000165CD">
        <w:rPr>
          <w:rFonts w:cs="Arial"/>
        </w:rPr>
        <w:t>, tj. 24,11</w:t>
      </w:r>
      <w:r w:rsidR="00BC2D4E">
        <w:rPr>
          <w:rFonts w:cs="Arial"/>
        </w:rPr>
        <w:t xml:space="preserve"> </w:t>
      </w:r>
      <w:r w:rsidRPr="000165CD">
        <w:rPr>
          <w:rFonts w:cs="Arial"/>
        </w:rPr>
        <w:t xml:space="preserve">%. </w:t>
      </w:r>
    </w:p>
    <w:p w14:paraId="117E9E5D" w14:textId="77777777" w:rsidR="0002368C" w:rsidRPr="0002368C" w:rsidRDefault="0002368C" w:rsidP="0002368C">
      <w:pPr>
        <w:rPr>
          <w:rFonts w:cs="Arial"/>
        </w:rPr>
      </w:pPr>
    </w:p>
    <w:p w14:paraId="418E1C5E" w14:textId="77777777" w:rsidR="00D5657C" w:rsidRDefault="00D5657C">
      <w:pPr>
        <w:spacing w:line="240" w:lineRule="auto"/>
        <w:jc w:val="left"/>
        <w:rPr>
          <w:b/>
          <w:color w:val="00338D"/>
          <w:sz w:val="24"/>
        </w:rPr>
      </w:pPr>
      <w:bookmarkStart w:id="38" w:name="_Toc115987892"/>
      <w:bookmarkEnd w:id="34"/>
      <w:r>
        <w:br w:type="page"/>
      </w:r>
    </w:p>
    <w:p w14:paraId="03E3200A" w14:textId="77777777" w:rsidR="00222DAE" w:rsidRPr="00787E01" w:rsidRDefault="00222DAE" w:rsidP="00222DAE">
      <w:pPr>
        <w:pStyle w:val="Naslov2"/>
      </w:pPr>
      <w:bookmarkStart w:id="39" w:name="_Toc122335621"/>
      <w:r w:rsidRPr="00787E01">
        <w:lastRenderedPageBreak/>
        <w:t>Usluga putničkog prijevoz</w:t>
      </w:r>
      <w:bookmarkEnd w:id="38"/>
      <w:r w:rsidRPr="00787E01">
        <w:t>a</w:t>
      </w:r>
      <w:bookmarkEnd w:id="39"/>
    </w:p>
    <w:p w14:paraId="3B50C399" w14:textId="77777777" w:rsidR="00222DAE" w:rsidRDefault="00222DAE" w:rsidP="00222DAE">
      <w:pPr>
        <w:rPr>
          <w:rFonts w:cs="Arial"/>
        </w:rPr>
      </w:pPr>
    </w:p>
    <w:p w14:paraId="246CA59E" w14:textId="77777777" w:rsidR="00222DAE" w:rsidRDefault="00222DAE" w:rsidP="00222DAE">
      <w:pPr>
        <w:rPr>
          <w:rFonts w:cs="Arial"/>
        </w:rPr>
      </w:pPr>
      <w:r w:rsidRPr="0064635C">
        <w:rPr>
          <w:rFonts w:cs="Arial"/>
        </w:rPr>
        <w:t>Od svih vrsta prometa namijenjenih primarno za putnički prijevoz</w:t>
      </w:r>
      <w:r>
        <w:rPr>
          <w:rFonts w:cs="Arial"/>
        </w:rPr>
        <w:t>,</w:t>
      </w:r>
      <w:r w:rsidRPr="0064635C">
        <w:rPr>
          <w:rFonts w:cs="Arial"/>
        </w:rPr>
        <w:t xml:space="preserve"> željeznički </w:t>
      </w:r>
      <w:r w:rsidR="00BC2D4E">
        <w:rPr>
          <w:rFonts w:cs="Arial"/>
        </w:rPr>
        <w:t xml:space="preserve">se </w:t>
      </w:r>
      <w:r w:rsidRPr="0064635C">
        <w:rPr>
          <w:rFonts w:cs="Arial"/>
        </w:rPr>
        <w:t>promet pokazao kao ekološki najprihvatljiviji i održiviji na dulj</w:t>
      </w:r>
      <w:r w:rsidR="00BC2D4E">
        <w:rPr>
          <w:rFonts w:cs="Arial"/>
        </w:rPr>
        <w:t>e</w:t>
      </w:r>
      <w:r w:rsidRPr="0064635C">
        <w:rPr>
          <w:rFonts w:cs="Arial"/>
        </w:rPr>
        <w:t xml:space="preserve"> </w:t>
      </w:r>
      <w:r w:rsidR="00BC2D4E">
        <w:rPr>
          <w:rFonts w:cs="Arial"/>
        </w:rPr>
        <w:t>razdoblje</w:t>
      </w:r>
      <w:r w:rsidRPr="0064635C">
        <w:rPr>
          <w:rFonts w:cs="Arial"/>
        </w:rPr>
        <w:t>. Primarni i trenutno jedini pružatelj usluga javnog prijevoza putnika u Republici Hrvatskoj za međunarodni i unutarnji prijevoz je</w:t>
      </w:r>
      <w:r w:rsidR="00BC2D4E">
        <w:rPr>
          <w:rFonts w:cs="Arial"/>
        </w:rPr>
        <w:t>st</w:t>
      </w:r>
      <w:r w:rsidRPr="0064635C">
        <w:rPr>
          <w:rFonts w:cs="Arial"/>
        </w:rPr>
        <w:t xml:space="preserve"> HŽ </w:t>
      </w:r>
      <w:r w:rsidR="001120CB">
        <w:rPr>
          <w:rFonts w:cs="Arial"/>
        </w:rPr>
        <w:t>P</w:t>
      </w:r>
      <w:r w:rsidRPr="0064635C">
        <w:rPr>
          <w:rFonts w:cs="Arial"/>
        </w:rPr>
        <w:t xml:space="preserve">utnički prijevoz d.o.o. </w:t>
      </w:r>
      <w:r w:rsidRPr="008A22B2">
        <w:rPr>
          <w:rFonts w:cs="Arial"/>
        </w:rPr>
        <w:t xml:space="preserve">Ugovor za usluge </w:t>
      </w:r>
      <w:r w:rsidR="001120CB">
        <w:rPr>
          <w:rFonts w:cs="Arial"/>
        </w:rPr>
        <w:t>od općeg gospodarskog interesa u javnom željezničkom prijevozu u Republici Hrvatskoj</w:t>
      </w:r>
      <w:r w:rsidRPr="008A22B2">
        <w:rPr>
          <w:rFonts w:cs="Arial"/>
        </w:rPr>
        <w:t xml:space="preserve"> </w:t>
      </w:r>
      <w:r>
        <w:rPr>
          <w:rFonts w:cs="Arial"/>
        </w:rPr>
        <w:t>(PSO ugovor) između MMPI</w:t>
      </w:r>
      <w:r w:rsidR="00BC2D4E">
        <w:rPr>
          <w:rFonts w:cs="Arial"/>
        </w:rPr>
        <w:t>-ja</w:t>
      </w:r>
      <w:r>
        <w:rPr>
          <w:rFonts w:cs="Arial"/>
        </w:rPr>
        <w:t xml:space="preserve"> i </w:t>
      </w:r>
      <w:r w:rsidRPr="0064635C">
        <w:rPr>
          <w:rFonts w:cs="Arial"/>
        </w:rPr>
        <w:t>društv</w:t>
      </w:r>
      <w:r>
        <w:rPr>
          <w:rFonts w:cs="Arial"/>
        </w:rPr>
        <w:t>a</w:t>
      </w:r>
      <w:r w:rsidRPr="0064635C">
        <w:rPr>
          <w:rFonts w:cs="Arial"/>
        </w:rPr>
        <w:t xml:space="preserve"> </w:t>
      </w:r>
      <w:r>
        <w:rPr>
          <w:rFonts w:cs="Arial"/>
        </w:rPr>
        <w:t xml:space="preserve">HŽPP ugovoren je </w:t>
      </w:r>
      <w:r w:rsidRPr="008A22B2">
        <w:rPr>
          <w:rFonts w:cs="Arial"/>
        </w:rPr>
        <w:t>za razdoblje od 1. siječnja 2019. do 31. prosinca 2028. godine</w:t>
      </w:r>
      <w:r>
        <w:rPr>
          <w:rFonts w:cs="Arial"/>
        </w:rPr>
        <w:t xml:space="preserve">. </w:t>
      </w:r>
    </w:p>
    <w:p w14:paraId="771A5A7D" w14:textId="77777777" w:rsidR="00222DAE" w:rsidRPr="0064635C" w:rsidRDefault="00222DAE" w:rsidP="00222DAE">
      <w:pPr>
        <w:rPr>
          <w:rFonts w:cs="Arial"/>
        </w:rPr>
      </w:pPr>
      <w:r w:rsidRPr="0064635C">
        <w:rPr>
          <w:rFonts w:cs="Arial"/>
        </w:rPr>
        <w:t xml:space="preserve">Predmet Ugovora </w:t>
      </w:r>
      <w:r w:rsidR="00074FA7">
        <w:rPr>
          <w:rFonts w:cs="Arial"/>
        </w:rPr>
        <w:t xml:space="preserve">jesu </w:t>
      </w:r>
      <w:r w:rsidRPr="0064635C">
        <w:rPr>
          <w:rFonts w:cs="Arial"/>
        </w:rPr>
        <w:t xml:space="preserve">pružanje usluge od općeg gospodarskog interesa u javnom željezničkom prijevozu putnika u Republici Hrvatskoj </w:t>
      </w:r>
      <w:r w:rsidR="00074FA7">
        <w:rPr>
          <w:rFonts w:cs="Arial"/>
        </w:rPr>
        <w:t>te</w:t>
      </w:r>
      <w:r w:rsidRPr="0064635C">
        <w:rPr>
          <w:rFonts w:cs="Arial"/>
        </w:rPr>
        <w:t xml:space="preserve"> ugovorna naknada za obavljanje usluge od općeg gospodarskog interesa koja ne smije premašiti iznos koji je nužan za pokriće neto</w:t>
      </w:r>
      <w:r>
        <w:rPr>
          <w:rFonts w:cs="Arial"/>
        </w:rPr>
        <w:t xml:space="preserve"> </w:t>
      </w:r>
      <w:r w:rsidRPr="0064635C">
        <w:rPr>
          <w:rFonts w:cs="Arial"/>
        </w:rPr>
        <w:t>troškova nastali</w:t>
      </w:r>
      <w:r w:rsidR="00BC2D4E">
        <w:rPr>
          <w:rFonts w:cs="Arial"/>
        </w:rPr>
        <w:t>h</w:t>
      </w:r>
      <w:r w:rsidRPr="0064635C">
        <w:rPr>
          <w:rFonts w:cs="Arial"/>
        </w:rPr>
        <w:t xml:space="preserve"> pri izvršenju obveze javne usluge uzimajući u obzir prihode i razumnu dobit</w:t>
      </w:r>
      <w:r w:rsidR="00074FA7">
        <w:rPr>
          <w:rFonts w:cs="Arial"/>
        </w:rPr>
        <w:t>.</w:t>
      </w:r>
      <w:r w:rsidRPr="0064635C">
        <w:rPr>
          <w:rFonts w:cs="Arial"/>
        </w:rPr>
        <w:t xml:space="preserve"> </w:t>
      </w:r>
      <w:r w:rsidR="00074FA7">
        <w:rPr>
          <w:rFonts w:cs="Arial"/>
        </w:rPr>
        <w:t>O</w:t>
      </w:r>
      <w:r w:rsidRPr="0064635C">
        <w:rPr>
          <w:rFonts w:cs="Arial"/>
        </w:rPr>
        <w:t>bavljane usluge razlikovat</w:t>
      </w:r>
      <w:r w:rsidR="00074FA7">
        <w:rPr>
          <w:rFonts w:cs="Arial"/>
        </w:rPr>
        <w:t xml:space="preserve"> će se </w:t>
      </w:r>
      <w:r w:rsidRPr="0064635C">
        <w:rPr>
          <w:rFonts w:cs="Arial"/>
        </w:rPr>
        <w:t>prema vrsti usluge, osobito u pogledu vrste vozila</w:t>
      </w:r>
      <w:r w:rsidR="00BC2D4E">
        <w:rPr>
          <w:rFonts w:cs="Arial"/>
        </w:rPr>
        <w:t>,</w:t>
      </w:r>
      <w:r w:rsidRPr="0064635C">
        <w:rPr>
          <w:rFonts w:cs="Arial"/>
        </w:rPr>
        <w:t xml:space="preserve"> te sukladno različitim relacijama prometovanja vlakova, ugovornoj cijeni za potpuno ispunjenje usluge, vremenu trajanja ugovora, obvezama i pravima ugovornih strana, načinu obračuna i plaćanja zahtjeva za naknadu, izvješćivanju, pravu kontrole ispunjenja usluga iz ugovora, osiguranju ugovornih strana, radnicima angažiranim na ispunjenju usluga, uslugama marketinga</w:t>
      </w:r>
      <w:r w:rsidR="00074FA7">
        <w:rPr>
          <w:rFonts w:cs="Arial"/>
        </w:rPr>
        <w:t xml:space="preserve"> te</w:t>
      </w:r>
      <w:r w:rsidRPr="0064635C">
        <w:rPr>
          <w:rFonts w:cs="Arial"/>
        </w:rPr>
        <w:t xml:space="preserve"> pravu ugovornih strana na prihode iz ugovora u odnosu na kvalitetu usluga. </w:t>
      </w:r>
      <w:r w:rsidR="00074FA7">
        <w:rPr>
          <w:rFonts w:cs="Arial"/>
        </w:rPr>
        <w:t xml:space="preserve">Temeljem </w:t>
      </w:r>
      <w:r w:rsidRPr="0064635C">
        <w:rPr>
          <w:rFonts w:cs="Arial"/>
        </w:rPr>
        <w:t>broja ostvarenih vlak-kilometara za 2019. HŽPP-u je za pružanje usluge javnog prijevoza isplaćeno 448,6 mi</w:t>
      </w:r>
      <w:r>
        <w:rPr>
          <w:rFonts w:cs="Arial"/>
        </w:rPr>
        <w:t>l</w:t>
      </w:r>
      <w:r w:rsidR="00074FA7">
        <w:rPr>
          <w:rFonts w:cs="Arial"/>
        </w:rPr>
        <w:t>ijuna</w:t>
      </w:r>
      <w:r>
        <w:rPr>
          <w:rFonts w:cs="Arial"/>
        </w:rPr>
        <w:t xml:space="preserve"> k</w:t>
      </w:r>
      <w:r w:rsidR="00074FA7">
        <w:rPr>
          <w:rFonts w:cs="Arial"/>
        </w:rPr>
        <w:t>u</w:t>
      </w:r>
      <w:r>
        <w:rPr>
          <w:rFonts w:cs="Arial"/>
        </w:rPr>
        <w:t>n</w:t>
      </w:r>
      <w:r w:rsidR="00074FA7">
        <w:rPr>
          <w:rFonts w:cs="Arial"/>
        </w:rPr>
        <w:t>a</w:t>
      </w:r>
      <w:r w:rsidRPr="0064635C">
        <w:rPr>
          <w:rFonts w:cs="Arial"/>
        </w:rPr>
        <w:t>, 2020. isplaćen</w:t>
      </w:r>
      <w:r w:rsidR="00074FA7">
        <w:rPr>
          <w:rFonts w:cs="Arial"/>
        </w:rPr>
        <w:t>o</w:t>
      </w:r>
      <w:r w:rsidRPr="0064635C">
        <w:rPr>
          <w:rFonts w:cs="Arial"/>
        </w:rPr>
        <w:t xml:space="preserve"> </w:t>
      </w:r>
      <w:r w:rsidR="00074FA7">
        <w:rPr>
          <w:rFonts w:cs="Arial"/>
        </w:rPr>
        <w:t xml:space="preserve">je </w:t>
      </w:r>
      <w:r w:rsidRPr="0064635C">
        <w:rPr>
          <w:rFonts w:cs="Arial"/>
        </w:rPr>
        <w:t>461,5 mil</w:t>
      </w:r>
      <w:r w:rsidR="00074FA7">
        <w:rPr>
          <w:rFonts w:cs="Arial"/>
        </w:rPr>
        <w:t>ijuna</w:t>
      </w:r>
      <w:r w:rsidRPr="0064635C">
        <w:rPr>
          <w:rFonts w:cs="Arial"/>
        </w:rPr>
        <w:t xml:space="preserve"> </w:t>
      </w:r>
      <w:r>
        <w:rPr>
          <w:rFonts w:cs="Arial"/>
        </w:rPr>
        <w:t>k</w:t>
      </w:r>
      <w:r w:rsidR="00074FA7">
        <w:rPr>
          <w:rFonts w:cs="Arial"/>
        </w:rPr>
        <w:t>u</w:t>
      </w:r>
      <w:r>
        <w:rPr>
          <w:rFonts w:cs="Arial"/>
        </w:rPr>
        <w:t>n</w:t>
      </w:r>
      <w:r w:rsidR="00074FA7">
        <w:rPr>
          <w:rFonts w:cs="Arial"/>
        </w:rPr>
        <w:t>a</w:t>
      </w:r>
      <w:r>
        <w:rPr>
          <w:rFonts w:cs="Arial"/>
        </w:rPr>
        <w:t>,</w:t>
      </w:r>
      <w:r w:rsidRPr="0064635C">
        <w:rPr>
          <w:rFonts w:cs="Arial"/>
        </w:rPr>
        <w:t xml:space="preserve"> a ukupna vrijednost desetogodišnjeg Ugovora iznosi 4,62 m</w:t>
      </w:r>
      <w:r w:rsidR="00074FA7">
        <w:rPr>
          <w:rFonts w:cs="Arial"/>
        </w:rPr>
        <w:t>ilijarde</w:t>
      </w:r>
      <w:r>
        <w:rPr>
          <w:rFonts w:cs="Arial"/>
        </w:rPr>
        <w:t xml:space="preserve"> k</w:t>
      </w:r>
      <w:r w:rsidR="00074FA7">
        <w:rPr>
          <w:rFonts w:cs="Arial"/>
        </w:rPr>
        <w:t>u</w:t>
      </w:r>
      <w:r>
        <w:rPr>
          <w:rFonts w:cs="Arial"/>
        </w:rPr>
        <w:t>n</w:t>
      </w:r>
      <w:r w:rsidR="00074FA7">
        <w:rPr>
          <w:rFonts w:cs="Arial"/>
        </w:rPr>
        <w:t>a</w:t>
      </w:r>
      <w:r w:rsidRPr="0064635C">
        <w:rPr>
          <w:rFonts w:cs="Arial"/>
        </w:rPr>
        <w:t>.</w:t>
      </w:r>
    </w:p>
    <w:p w14:paraId="490E612D" w14:textId="77777777" w:rsidR="00222DAE" w:rsidRPr="00383949" w:rsidRDefault="00222DAE" w:rsidP="00222DAE">
      <w:pPr>
        <w:rPr>
          <w:rFonts w:cs="Arial"/>
        </w:rPr>
      </w:pPr>
      <w:r w:rsidRPr="00C75E37">
        <w:rPr>
          <w:rFonts w:cs="Arial"/>
        </w:rPr>
        <w:t>Prema službenim podatcima iz godišnjeg izvješća od HŽPP-a iz 2019. godine najveći broj putnika generiraju Zagrebačka županija (21,26</w:t>
      </w:r>
      <w:r w:rsidR="00074FA7">
        <w:rPr>
          <w:rFonts w:cs="Arial"/>
        </w:rPr>
        <w:t xml:space="preserve"> </w:t>
      </w:r>
      <w:r w:rsidRPr="00C75E37">
        <w:rPr>
          <w:rFonts w:cs="Arial"/>
        </w:rPr>
        <w:t xml:space="preserve">%) </w:t>
      </w:r>
      <w:r w:rsidRPr="00383949">
        <w:rPr>
          <w:rFonts w:cs="Arial"/>
        </w:rPr>
        <w:t>i Grad Zagreb (29,90</w:t>
      </w:r>
      <w:r w:rsidR="00074FA7">
        <w:rPr>
          <w:rFonts w:cs="Arial"/>
        </w:rPr>
        <w:t xml:space="preserve"> </w:t>
      </w:r>
      <w:r w:rsidRPr="00383949">
        <w:rPr>
          <w:rFonts w:cs="Arial"/>
        </w:rPr>
        <w:t>%) dok najmanje putnika generiraju Ličko</w:t>
      </w:r>
      <w:r w:rsidR="00074FA7">
        <w:rPr>
          <w:rFonts w:cs="Arial"/>
        </w:rPr>
        <w:t>-s</w:t>
      </w:r>
      <w:r w:rsidRPr="00383949">
        <w:rPr>
          <w:rFonts w:cs="Arial"/>
        </w:rPr>
        <w:t>enjska (0,02</w:t>
      </w:r>
      <w:r w:rsidR="00074FA7">
        <w:rPr>
          <w:rFonts w:cs="Arial"/>
        </w:rPr>
        <w:t xml:space="preserve"> </w:t>
      </w:r>
      <w:r w:rsidRPr="00383949">
        <w:rPr>
          <w:rFonts w:cs="Arial"/>
        </w:rPr>
        <w:t>%) i Šibensko</w:t>
      </w:r>
      <w:r w:rsidR="00074FA7">
        <w:rPr>
          <w:rFonts w:cs="Arial"/>
        </w:rPr>
        <w:t>-k</w:t>
      </w:r>
      <w:r w:rsidRPr="00383949">
        <w:rPr>
          <w:rFonts w:cs="Arial"/>
        </w:rPr>
        <w:t>ninska županija (0,41</w:t>
      </w:r>
      <w:r w:rsidR="00074FA7">
        <w:rPr>
          <w:rFonts w:cs="Arial"/>
        </w:rPr>
        <w:t xml:space="preserve"> </w:t>
      </w:r>
      <w:r w:rsidRPr="00383949">
        <w:rPr>
          <w:rFonts w:cs="Arial"/>
        </w:rPr>
        <w:t>%). Zagrebačka županija i Grad Zagreb zajedno generiraju više od 51</w:t>
      </w:r>
      <w:r w:rsidR="00074FA7">
        <w:rPr>
          <w:rFonts w:cs="Arial"/>
        </w:rPr>
        <w:t xml:space="preserve"> </w:t>
      </w:r>
      <w:r w:rsidRPr="00383949">
        <w:rPr>
          <w:rFonts w:cs="Arial"/>
        </w:rPr>
        <w:t xml:space="preserve">% ukupnog unutarnjeg željezničkog putničkog prometa Republike Hrvatske. </w:t>
      </w:r>
    </w:p>
    <w:p w14:paraId="47B2C740" w14:textId="77777777" w:rsidR="00222DAE" w:rsidRPr="00383949" w:rsidRDefault="00222DAE" w:rsidP="00222DAE">
      <w:pPr>
        <w:rPr>
          <w:rFonts w:cs="Arial"/>
        </w:rPr>
      </w:pPr>
      <w:r w:rsidRPr="00383949">
        <w:rPr>
          <w:rFonts w:cs="Arial"/>
        </w:rPr>
        <w:t>Prema podatcima HŽPP-a</w:t>
      </w:r>
      <w:r w:rsidR="00BD2FD4">
        <w:rPr>
          <w:rFonts w:cs="Arial"/>
        </w:rPr>
        <w:t>,</w:t>
      </w:r>
      <w:r w:rsidRPr="00383949">
        <w:rPr>
          <w:rFonts w:cs="Arial"/>
        </w:rPr>
        <w:t xml:space="preserve"> 96,15</w:t>
      </w:r>
      <w:r w:rsidR="00074FA7">
        <w:rPr>
          <w:rFonts w:cs="Arial"/>
        </w:rPr>
        <w:t xml:space="preserve"> </w:t>
      </w:r>
      <w:r w:rsidRPr="00383949">
        <w:rPr>
          <w:rFonts w:cs="Arial"/>
        </w:rPr>
        <w:t>% ukupnog putničkog prometa</w:t>
      </w:r>
      <w:r w:rsidR="00BD2FD4">
        <w:rPr>
          <w:rFonts w:cs="Arial"/>
        </w:rPr>
        <w:t>,</w:t>
      </w:r>
      <w:r w:rsidRPr="00383949">
        <w:rPr>
          <w:rFonts w:cs="Arial"/>
        </w:rPr>
        <w:t xml:space="preserve"> </w:t>
      </w:r>
      <w:r w:rsidR="00BD2FD4">
        <w:rPr>
          <w:rFonts w:cs="Arial"/>
        </w:rPr>
        <w:t xml:space="preserve">ostvarenog </w:t>
      </w:r>
      <w:r w:rsidRPr="00383949">
        <w:rPr>
          <w:rFonts w:cs="Arial"/>
        </w:rPr>
        <w:t>2019. godine</w:t>
      </w:r>
      <w:r w:rsidR="00BD2FD4">
        <w:rPr>
          <w:rFonts w:cs="Arial"/>
        </w:rPr>
        <w:t>,</w:t>
      </w:r>
      <w:r w:rsidRPr="00383949">
        <w:rPr>
          <w:rFonts w:cs="Arial"/>
        </w:rPr>
        <w:t xml:space="preserve"> generirano </w:t>
      </w:r>
      <w:r w:rsidR="00074FA7">
        <w:rPr>
          <w:rFonts w:cs="Arial"/>
        </w:rPr>
        <w:t xml:space="preserve">je </w:t>
      </w:r>
      <w:r w:rsidRPr="00383949">
        <w:rPr>
          <w:rFonts w:cs="Arial"/>
        </w:rPr>
        <w:t>u Kontinentalnoj Hrvatskoj</w:t>
      </w:r>
      <w:r w:rsidR="00BD2FD4" w:rsidRPr="00BD2FD4">
        <w:t xml:space="preserve"> </w:t>
      </w:r>
      <w:r w:rsidR="00BD2FD4">
        <w:t xml:space="preserve">dok je u regiji </w:t>
      </w:r>
      <w:r w:rsidR="00BD2FD4" w:rsidRPr="00BD2FD4">
        <w:rPr>
          <w:rFonts w:cs="Arial"/>
        </w:rPr>
        <w:t>Jadranska Hrvatska generira</w:t>
      </w:r>
      <w:r w:rsidR="00BD2FD4">
        <w:rPr>
          <w:rFonts w:cs="Arial"/>
        </w:rPr>
        <w:t>no samo</w:t>
      </w:r>
      <w:r w:rsidR="00BD2FD4" w:rsidRPr="00BD2FD4">
        <w:rPr>
          <w:rFonts w:cs="Arial"/>
        </w:rPr>
        <w:t xml:space="preserve"> 3,85</w:t>
      </w:r>
      <w:r w:rsidR="00074FA7">
        <w:rPr>
          <w:rFonts w:cs="Arial"/>
        </w:rPr>
        <w:t xml:space="preserve"> </w:t>
      </w:r>
      <w:r w:rsidR="00BD2FD4" w:rsidRPr="00BD2FD4">
        <w:rPr>
          <w:rFonts w:cs="Arial"/>
        </w:rPr>
        <w:t xml:space="preserve">% </w:t>
      </w:r>
      <w:r w:rsidR="00BD2FD4">
        <w:rPr>
          <w:rFonts w:cs="Arial"/>
        </w:rPr>
        <w:t xml:space="preserve">željezničkog </w:t>
      </w:r>
      <w:r w:rsidR="00BD2FD4" w:rsidRPr="00BD2FD4">
        <w:rPr>
          <w:rFonts w:cs="Arial"/>
        </w:rPr>
        <w:t>putničkog prometa</w:t>
      </w:r>
      <w:r w:rsidR="00BD2FD4">
        <w:rPr>
          <w:rFonts w:cs="Arial"/>
        </w:rPr>
        <w:t>. Osim</w:t>
      </w:r>
      <w:r w:rsidRPr="00383949">
        <w:rPr>
          <w:rFonts w:cs="Arial"/>
        </w:rPr>
        <w:t xml:space="preserve"> zbog broja stanovnika, ali i gospodarskih centara koj</w:t>
      </w:r>
      <w:r w:rsidR="00074FA7">
        <w:rPr>
          <w:rFonts w:cs="Arial"/>
        </w:rPr>
        <w:t>i</w:t>
      </w:r>
      <w:r w:rsidRPr="00383949">
        <w:rPr>
          <w:rFonts w:cs="Arial"/>
        </w:rPr>
        <w:t xml:space="preserve"> se nalaze </w:t>
      </w:r>
      <w:r w:rsidR="00BD2FD4">
        <w:rPr>
          <w:rFonts w:cs="Arial"/>
        </w:rPr>
        <w:t>na području</w:t>
      </w:r>
      <w:r w:rsidRPr="00383949">
        <w:rPr>
          <w:rFonts w:cs="Arial"/>
        </w:rPr>
        <w:t xml:space="preserve"> regije</w:t>
      </w:r>
      <w:r w:rsidR="00BD2FD4">
        <w:rPr>
          <w:rFonts w:cs="Arial"/>
        </w:rPr>
        <w:t xml:space="preserve"> Kontinentalna Hrvatska, slabi poda</w:t>
      </w:r>
      <w:r w:rsidR="00074FA7">
        <w:rPr>
          <w:rFonts w:cs="Arial"/>
        </w:rPr>
        <w:t>t</w:t>
      </w:r>
      <w:r w:rsidR="00BD2FD4">
        <w:rPr>
          <w:rFonts w:cs="Arial"/>
        </w:rPr>
        <w:t>ci o ostvarenom prometu na području re</w:t>
      </w:r>
      <w:r w:rsidRPr="00383949">
        <w:rPr>
          <w:rFonts w:cs="Arial"/>
        </w:rPr>
        <w:t>gije Jadranska Hrvatska</w:t>
      </w:r>
      <w:r w:rsidR="00BD2FD4">
        <w:rPr>
          <w:rFonts w:cs="Arial"/>
        </w:rPr>
        <w:t xml:space="preserve"> rezultat su</w:t>
      </w:r>
      <w:r w:rsidRPr="00383949">
        <w:rPr>
          <w:rFonts w:cs="Arial"/>
        </w:rPr>
        <w:t xml:space="preserve"> nerazvijenost</w:t>
      </w:r>
      <w:r w:rsidR="00BD2FD4">
        <w:rPr>
          <w:rFonts w:cs="Arial"/>
        </w:rPr>
        <w:t>i</w:t>
      </w:r>
      <w:r w:rsidRPr="00383949">
        <w:rPr>
          <w:rFonts w:cs="Arial"/>
        </w:rPr>
        <w:t xml:space="preserve"> željezničke infrastrukture i slab</w:t>
      </w:r>
      <w:r w:rsidR="00BD2FD4">
        <w:rPr>
          <w:rFonts w:cs="Arial"/>
        </w:rPr>
        <w:t>e</w:t>
      </w:r>
      <w:r w:rsidRPr="00383949">
        <w:rPr>
          <w:rFonts w:cs="Arial"/>
        </w:rPr>
        <w:t xml:space="preserve"> povezanost</w:t>
      </w:r>
      <w:r w:rsidR="00BD2FD4">
        <w:rPr>
          <w:rFonts w:cs="Arial"/>
        </w:rPr>
        <w:t>i</w:t>
      </w:r>
      <w:r w:rsidRPr="00383949">
        <w:rPr>
          <w:rFonts w:cs="Arial"/>
        </w:rPr>
        <w:t xml:space="preserve"> s </w:t>
      </w:r>
      <w:r w:rsidR="00BD2FD4">
        <w:rPr>
          <w:rFonts w:cs="Arial"/>
        </w:rPr>
        <w:t>važnijim</w:t>
      </w:r>
      <w:r w:rsidRPr="00383949">
        <w:rPr>
          <w:rFonts w:cs="Arial"/>
        </w:rPr>
        <w:t xml:space="preserve"> gospodarskim centrima u regiji. </w:t>
      </w:r>
    </w:p>
    <w:p w14:paraId="3092BC2A" w14:textId="77777777" w:rsidR="00222DAE" w:rsidRDefault="00222DAE" w:rsidP="00222DAE">
      <w:pPr>
        <w:rPr>
          <w:rFonts w:cs="Arial"/>
        </w:rPr>
      </w:pPr>
      <w:r w:rsidRPr="0064635C">
        <w:rPr>
          <w:rFonts w:cs="Arial"/>
        </w:rPr>
        <w:t xml:space="preserve">Prema statističkim podatcima HŽPP-a u 2020. godini ukupno </w:t>
      </w:r>
      <w:r w:rsidR="00074FA7">
        <w:rPr>
          <w:rFonts w:cs="Arial"/>
        </w:rPr>
        <w:t xml:space="preserve">je </w:t>
      </w:r>
      <w:r w:rsidRPr="0064635C">
        <w:rPr>
          <w:rFonts w:cs="Arial"/>
        </w:rPr>
        <w:t xml:space="preserve">prevezeno 13.103.440 putnika. Podatci o broju generiranih putovanja </w:t>
      </w:r>
      <w:r w:rsidR="00BD2FD4">
        <w:rPr>
          <w:rFonts w:cs="Arial"/>
        </w:rPr>
        <w:t>iz</w:t>
      </w:r>
      <w:r w:rsidRPr="0064635C">
        <w:rPr>
          <w:rFonts w:cs="Arial"/>
        </w:rPr>
        <w:t xml:space="preserve"> 2020. godine u odnosu na 2019. godinu niži</w:t>
      </w:r>
      <w:r w:rsidR="00074FA7">
        <w:rPr>
          <w:rFonts w:cs="Arial"/>
        </w:rPr>
        <w:t xml:space="preserve"> su</w:t>
      </w:r>
      <w:r w:rsidRPr="0064635C">
        <w:rPr>
          <w:rFonts w:cs="Arial"/>
        </w:rPr>
        <w:t xml:space="preserve"> za 34</w:t>
      </w:r>
      <w:r w:rsidR="00074FA7">
        <w:rPr>
          <w:rFonts w:cs="Arial"/>
        </w:rPr>
        <w:t xml:space="preserve"> </w:t>
      </w:r>
      <w:r w:rsidRPr="0064635C">
        <w:rPr>
          <w:rFonts w:cs="Arial"/>
        </w:rPr>
        <w:t xml:space="preserve">%, </w:t>
      </w:r>
      <w:r w:rsidR="00074FA7">
        <w:rPr>
          <w:rFonts w:cs="Arial"/>
        </w:rPr>
        <w:t xml:space="preserve">a </w:t>
      </w:r>
      <w:r w:rsidRPr="0064635C">
        <w:rPr>
          <w:rFonts w:cs="Arial"/>
        </w:rPr>
        <w:t>glavni razlog ovakvog naglog pada broja generiranih putovanja je</w:t>
      </w:r>
      <w:r w:rsidR="00074FA7">
        <w:rPr>
          <w:rFonts w:cs="Arial"/>
        </w:rPr>
        <w:t>st</w:t>
      </w:r>
      <w:r w:rsidRPr="0064635C">
        <w:rPr>
          <w:rFonts w:cs="Arial"/>
        </w:rPr>
        <w:t xml:space="preserve"> prekid pružanja usluga javnog prijevoza putnika u međunarodnom prometu od 17. ožujka do 21. lipnja</w:t>
      </w:r>
      <w:r w:rsidR="00BD2FD4">
        <w:rPr>
          <w:rFonts w:cs="Arial"/>
        </w:rPr>
        <w:t xml:space="preserve"> 2020. godine</w:t>
      </w:r>
      <w:r w:rsidRPr="0064635C">
        <w:rPr>
          <w:rFonts w:cs="Arial"/>
        </w:rPr>
        <w:t xml:space="preserve">, a u unutarnjem </w:t>
      </w:r>
      <w:r w:rsidR="00BD2FD4">
        <w:rPr>
          <w:rFonts w:cs="Arial"/>
        </w:rPr>
        <w:t xml:space="preserve">prometu </w:t>
      </w:r>
      <w:r w:rsidRPr="0064635C">
        <w:rPr>
          <w:rFonts w:cs="Arial"/>
        </w:rPr>
        <w:t>od 22. ožujka do 10. svibnja</w:t>
      </w:r>
      <w:r w:rsidR="00BD2FD4">
        <w:rPr>
          <w:rFonts w:cs="Arial"/>
        </w:rPr>
        <w:t xml:space="preserve"> 2020. godine,</w:t>
      </w:r>
      <w:r w:rsidRPr="0064635C">
        <w:rPr>
          <w:rFonts w:cs="Arial"/>
        </w:rPr>
        <w:t xml:space="preserve"> zbog </w:t>
      </w:r>
      <w:r w:rsidR="001120CB">
        <w:rPr>
          <w:rFonts w:cs="Arial"/>
        </w:rPr>
        <w:t xml:space="preserve">uvođenja </w:t>
      </w:r>
      <w:proofErr w:type="spellStart"/>
      <w:r w:rsidR="001120CB" w:rsidRPr="002A3D42">
        <w:rPr>
          <w:rFonts w:cs="Arial"/>
          <w:i/>
        </w:rPr>
        <w:t>lockdowna</w:t>
      </w:r>
      <w:proofErr w:type="spellEnd"/>
      <w:r w:rsidR="001120CB">
        <w:rPr>
          <w:rFonts w:cs="Arial"/>
        </w:rPr>
        <w:t xml:space="preserve"> nakon </w:t>
      </w:r>
      <w:r w:rsidR="00BD2FD4">
        <w:rPr>
          <w:rFonts w:cs="Arial"/>
        </w:rPr>
        <w:t>proglašenja</w:t>
      </w:r>
      <w:r w:rsidRPr="0064635C">
        <w:rPr>
          <w:rFonts w:cs="Arial"/>
        </w:rPr>
        <w:t xml:space="preserve"> pandemije</w:t>
      </w:r>
      <w:r w:rsidR="00BD2FD4">
        <w:rPr>
          <w:rFonts w:cs="Arial"/>
        </w:rPr>
        <w:t xml:space="preserve"> bolesti uzrokovane virusom </w:t>
      </w:r>
      <w:r w:rsidRPr="0064635C">
        <w:rPr>
          <w:rFonts w:cs="Arial"/>
        </w:rPr>
        <w:t xml:space="preserve">COVID-19. </w:t>
      </w:r>
      <w:r w:rsidR="00BD2FD4">
        <w:rPr>
          <w:rFonts w:cs="Arial"/>
        </w:rPr>
        <w:t>Također</w:t>
      </w:r>
      <w:r w:rsidRPr="0064635C">
        <w:rPr>
          <w:rFonts w:cs="Arial"/>
        </w:rPr>
        <w:t xml:space="preserve">, </w:t>
      </w:r>
      <w:r w:rsidR="008862B4">
        <w:rPr>
          <w:rFonts w:cs="Arial"/>
        </w:rPr>
        <w:t>u skladu s</w:t>
      </w:r>
      <w:r w:rsidR="008862B4" w:rsidRPr="0064635C">
        <w:rPr>
          <w:rFonts w:cs="Arial"/>
        </w:rPr>
        <w:t xml:space="preserve"> </w:t>
      </w:r>
      <w:r w:rsidRPr="0064635C">
        <w:rPr>
          <w:rFonts w:cs="Arial"/>
        </w:rPr>
        <w:t>preporuk</w:t>
      </w:r>
      <w:r w:rsidR="008862B4">
        <w:rPr>
          <w:rFonts w:cs="Arial"/>
        </w:rPr>
        <w:t>om</w:t>
      </w:r>
      <w:r w:rsidRPr="0064635C">
        <w:rPr>
          <w:rFonts w:cs="Arial"/>
        </w:rPr>
        <w:t xml:space="preserve"> </w:t>
      </w:r>
      <w:r w:rsidR="00BD2FD4">
        <w:rPr>
          <w:rFonts w:cs="Arial"/>
        </w:rPr>
        <w:t xml:space="preserve">Nacionalnog </w:t>
      </w:r>
      <w:r w:rsidRPr="0064635C">
        <w:rPr>
          <w:rFonts w:cs="Arial"/>
        </w:rPr>
        <w:t>stožera civilne zaštite</w:t>
      </w:r>
      <w:r w:rsidR="00BD2FD4">
        <w:rPr>
          <w:rFonts w:cs="Arial"/>
        </w:rPr>
        <w:t>,</w:t>
      </w:r>
      <w:r w:rsidRPr="0064635C">
        <w:rPr>
          <w:rFonts w:cs="Arial"/>
        </w:rPr>
        <w:t xml:space="preserve"> tijekom 2020. godine velik</w:t>
      </w:r>
      <w:r w:rsidR="00BD2FD4">
        <w:rPr>
          <w:rFonts w:cs="Arial"/>
        </w:rPr>
        <w:t>om</w:t>
      </w:r>
      <w:r w:rsidRPr="0064635C">
        <w:rPr>
          <w:rFonts w:cs="Arial"/>
        </w:rPr>
        <w:t xml:space="preserve"> </w:t>
      </w:r>
      <w:r w:rsidR="00074FA7">
        <w:rPr>
          <w:rFonts w:cs="Arial"/>
        </w:rPr>
        <w:t xml:space="preserve">je </w:t>
      </w:r>
      <w:r w:rsidRPr="0064635C">
        <w:rPr>
          <w:rFonts w:cs="Arial"/>
        </w:rPr>
        <w:t>broj</w:t>
      </w:r>
      <w:r w:rsidR="00BD2FD4">
        <w:rPr>
          <w:rFonts w:cs="Arial"/>
        </w:rPr>
        <w:t>u</w:t>
      </w:r>
      <w:r w:rsidRPr="0064635C">
        <w:rPr>
          <w:rFonts w:cs="Arial"/>
        </w:rPr>
        <w:t xml:space="preserve"> korisnika željezničk</w:t>
      </w:r>
      <w:r w:rsidR="008862B4">
        <w:rPr>
          <w:rFonts w:cs="Arial"/>
        </w:rPr>
        <w:t>og prijevoza</w:t>
      </w:r>
      <w:r w:rsidRPr="0064635C">
        <w:rPr>
          <w:rFonts w:cs="Arial"/>
        </w:rPr>
        <w:t xml:space="preserve"> </w:t>
      </w:r>
      <w:r w:rsidR="00BD2FD4">
        <w:rPr>
          <w:rFonts w:cs="Arial"/>
        </w:rPr>
        <w:t>uvedena mogućnost</w:t>
      </w:r>
      <w:r w:rsidRPr="0064635C">
        <w:rPr>
          <w:rFonts w:cs="Arial"/>
        </w:rPr>
        <w:t xml:space="preserve"> rad</w:t>
      </w:r>
      <w:r w:rsidR="00BD2FD4">
        <w:rPr>
          <w:rFonts w:cs="Arial"/>
        </w:rPr>
        <w:t>a</w:t>
      </w:r>
      <w:r w:rsidRPr="0064635C">
        <w:rPr>
          <w:rFonts w:cs="Arial"/>
        </w:rPr>
        <w:t xml:space="preserve"> od kuće </w:t>
      </w:r>
      <w:r w:rsidR="008862B4">
        <w:rPr>
          <w:rFonts w:cs="Arial"/>
        </w:rPr>
        <w:t>dok je mlađoj populaciji</w:t>
      </w:r>
      <w:r w:rsidR="00BD2FD4">
        <w:rPr>
          <w:rFonts w:cs="Arial"/>
        </w:rPr>
        <w:t xml:space="preserve"> uveden</w:t>
      </w:r>
      <w:r w:rsidR="008862B4">
        <w:rPr>
          <w:rFonts w:cs="Arial"/>
        </w:rPr>
        <w:t>a</w:t>
      </w:r>
      <w:r w:rsidR="00BD2FD4">
        <w:rPr>
          <w:rFonts w:cs="Arial"/>
        </w:rPr>
        <w:t xml:space="preserve"> </w:t>
      </w:r>
      <w:r w:rsidR="008862B4" w:rsidRPr="002A3D42">
        <w:rPr>
          <w:rFonts w:cs="Arial"/>
          <w:i/>
        </w:rPr>
        <w:t>online</w:t>
      </w:r>
      <w:r w:rsidR="008862B4">
        <w:rPr>
          <w:rFonts w:cs="Arial"/>
        </w:rPr>
        <w:t xml:space="preserve"> </w:t>
      </w:r>
      <w:r w:rsidR="00BD2FD4">
        <w:rPr>
          <w:rFonts w:cs="Arial"/>
        </w:rPr>
        <w:t>nastav</w:t>
      </w:r>
      <w:r w:rsidR="008862B4">
        <w:rPr>
          <w:rFonts w:cs="Arial"/>
        </w:rPr>
        <w:t>a čime je</w:t>
      </w:r>
      <w:r w:rsidRPr="0064635C">
        <w:rPr>
          <w:rFonts w:cs="Arial"/>
        </w:rPr>
        <w:t xml:space="preserve"> uvelike smanj</w:t>
      </w:r>
      <w:r w:rsidR="008862B4">
        <w:rPr>
          <w:rFonts w:cs="Arial"/>
        </w:rPr>
        <w:t>ena</w:t>
      </w:r>
      <w:r w:rsidRPr="0064635C">
        <w:rPr>
          <w:rFonts w:cs="Arial"/>
        </w:rPr>
        <w:t xml:space="preserve"> potreba za </w:t>
      </w:r>
      <w:r w:rsidR="008862B4">
        <w:rPr>
          <w:rFonts w:cs="Arial"/>
        </w:rPr>
        <w:t xml:space="preserve">uobičajenim </w:t>
      </w:r>
      <w:r w:rsidRPr="0064635C">
        <w:rPr>
          <w:rFonts w:cs="Arial"/>
        </w:rPr>
        <w:t xml:space="preserve">dnevnim </w:t>
      </w:r>
      <w:r w:rsidR="008862B4">
        <w:rPr>
          <w:rFonts w:cs="Arial"/>
        </w:rPr>
        <w:t>putovanjima željeznicom</w:t>
      </w:r>
      <w:r w:rsidRPr="0064635C">
        <w:rPr>
          <w:rFonts w:cs="Arial"/>
        </w:rPr>
        <w:t xml:space="preserve">. </w:t>
      </w:r>
    </w:p>
    <w:p w14:paraId="08496FE7" w14:textId="77777777" w:rsidR="00222DAE" w:rsidRDefault="00222DAE" w:rsidP="00222DAE">
      <w:pPr>
        <w:rPr>
          <w:rFonts w:cs="Arial"/>
        </w:rPr>
      </w:pPr>
      <w:r>
        <w:rPr>
          <w:rFonts w:cs="Arial"/>
        </w:rPr>
        <w:lastRenderedPageBreak/>
        <w:t>N</w:t>
      </w:r>
      <w:r w:rsidRPr="005C1BA8">
        <w:rPr>
          <w:rFonts w:cs="Arial"/>
        </w:rPr>
        <w:t xml:space="preserve">ajveći generator putovanja </w:t>
      </w:r>
      <w:r w:rsidR="008862B4">
        <w:rPr>
          <w:rFonts w:cs="Arial"/>
        </w:rPr>
        <w:t xml:space="preserve">željeznicom u Republici Hrvatskoj </w:t>
      </w:r>
      <w:r w:rsidRPr="005C1BA8">
        <w:rPr>
          <w:rFonts w:cs="Arial"/>
        </w:rPr>
        <w:t>je</w:t>
      </w:r>
      <w:r w:rsidR="00074FA7">
        <w:rPr>
          <w:rFonts w:cs="Arial"/>
        </w:rPr>
        <w:t>st</w:t>
      </w:r>
      <w:r w:rsidRPr="005C1BA8">
        <w:rPr>
          <w:rFonts w:cs="Arial"/>
        </w:rPr>
        <w:t xml:space="preserve"> željeznička pruga M102 Zagreb G</w:t>
      </w:r>
      <w:r w:rsidR="00F54DF8">
        <w:rPr>
          <w:rFonts w:cs="Arial"/>
        </w:rPr>
        <w:t>K</w:t>
      </w:r>
      <w:r w:rsidRPr="005C1BA8">
        <w:rPr>
          <w:rFonts w:cs="Arial"/>
        </w:rPr>
        <w:t xml:space="preserve"> – Dugo Selo. U 2019. i 2020. </w:t>
      </w:r>
      <w:r>
        <w:rPr>
          <w:rFonts w:cs="Arial"/>
        </w:rPr>
        <w:t xml:space="preserve">godini </w:t>
      </w:r>
      <w:r w:rsidRPr="005C1BA8">
        <w:rPr>
          <w:rFonts w:cs="Arial"/>
        </w:rPr>
        <w:t>pruga M102 generira</w:t>
      </w:r>
      <w:r>
        <w:rPr>
          <w:rFonts w:cs="Arial"/>
        </w:rPr>
        <w:t>la</w:t>
      </w:r>
      <w:r w:rsidRPr="005C1BA8">
        <w:rPr>
          <w:rFonts w:cs="Arial"/>
        </w:rPr>
        <w:t xml:space="preserve"> </w:t>
      </w:r>
      <w:r w:rsidR="00074FA7">
        <w:rPr>
          <w:rFonts w:cs="Arial"/>
        </w:rPr>
        <w:t xml:space="preserve">je </w:t>
      </w:r>
      <w:r w:rsidR="008862B4">
        <w:rPr>
          <w:rFonts w:cs="Arial"/>
        </w:rPr>
        <w:t>prosječno</w:t>
      </w:r>
      <w:r w:rsidR="008862B4" w:rsidRPr="005C1BA8">
        <w:rPr>
          <w:rFonts w:cs="Arial"/>
        </w:rPr>
        <w:t xml:space="preserve"> </w:t>
      </w:r>
      <w:r w:rsidRPr="005C1BA8">
        <w:rPr>
          <w:rFonts w:cs="Arial"/>
        </w:rPr>
        <w:t>28</w:t>
      </w:r>
      <w:r w:rsidR="00074FA7">
        <w:rPr>
          <w:rFonts w:cs="Arial"/>
        </w:rPr>
        <w:t xml:space="preserve"> </w:t>
      </w:r>
      <w:r w:rsidRPr="005C1BA8">
        <w:rPr>
          <w:rFonts w:cs="Arial"/>
        </w:rPr>
        <w:t xml:space="preserve">% ukupnog godišnjeg </w:t>
      </w:r>
      <w:r w:rsidR="008862B4">
        <w:rPr>
          <w:rFonts w:cs="Arial"/>
        </w:rPr>
        <w:t xml:space="preserve">željezničkog </w:t>
      </w:r>
      <w:r w:rsidRPr="005C1BA8">
        <w:rPr>
          <w:rFonts w:cs="Arial"/>
        </w:rPr>
        <w:t>putničkog prometa u Republici Hrvatskoj.</w:t>
      </w:r>
    </w:p>
    <w:p w14:paraId="04569FD4" w14:textId="77777777" w:rsidR="00222DAE" w:rsidRDefault="00222DAE" w:rsidP="00222DAE">
      <w:r>
        <w:t>I</w:t>
      </w:r>
      <w:r w:rsidRPr="006449A5">
        <w:t xml:space="preserve">nventar voznog parka HŽPP-a sastoji se od 63 lokomotive (od čega 59 lokomotiva čini aktivni vozni park), 125 motornih vlakova (od toga 110 aktivnih), 10 manevarskih lokomotiva (sve aktivne) i 246 putničkih vagona (od kojih je 127 trenutno aktivno). Većina </w:t>
      </w:r>
      <w:r w:rsidR="00074FA7">
        <w:t xml:space="preserve">je </w:t>
      </w:r>
      <w:r w:rsidRPr="006449A5">
        <w:t xml:space="preserve">voznog parka stara što znači da će uskoro dosegnuti kraj životnog vijeka. Inventar se uglavnom sastoji od dizel-motornih vlakova </w:t>
      </w:r>
      <w:r w:rsidR="00074FA7">
        <w:t>jer</w:t>
      </w:r>
      <w:r w:rsidRPr="006449A5">
        <w:t xml:space="preserve"> mreža nije u potpunosti elektrificirana</w:t>
      </w:r>
      <w:r w:rsidR="001120CB">
        <w:t xml:space="preserve"> (38</w:t>
      </w:r>
      <w:r w:rsidR="00074FA7">
        <w:t xml:space="preserve"> </w:t>
      </w:r>
      <w:r w:rsidR="001120CB">
        <w:t>% mreže je elektrificirano)</w:t>
      </w:r>
      <w:r w:rsidRPr="006449A5">
        <w:t>. Slijede elektromotorni vlakovi čiji je broj porastao zadnjih 10 godina i koji su zamijenili vlakove s klasičnom kompozicijom (lokomotive i vagoni) kao i stare vlakove serije 6 111 što je rezultiralo smanjenim brojem kvarova na serijama vozila.</w:t>
      </w:r>
    </w:p>
    <w:p w14:paraId="0A3E3041" w14:textId="77777777" w:rsidR="00222DAE" w:rsidRDefault="00222DAE" w:rsidP="00222DAE">
      <w:r w:rsidRPr="00791BDC">
        <w:t>Prodajni sustav HŽPP-a obuhvaća 6 prodajnih kanala</w:t>
      </w:r>
      <w:r>
        <w:t xml:space="preserve"> i to blagajne (POS), </w:t>
      </w:r>
      <w:r w:rsidR="0026291C">
        <w:t>s</w:t>
      </w:r>
      <w:r>
        <w:t>tabiln</w:t>
      </w:r>
      <w:r w:rsidR="0026291C">
        <w:t>e</w:t>
      </w:r>
      <w:r>
        <w:t xml:space="preserve"> automat</w:t>
      </w:r>
      <w:r w:rsidR="0026291C">
        <w:t>e</w:t>
      </w:r>
      <w:r>
        <w:t xml:space="preserve"> (TVM), mobiln</w:t>
      </w:r>
      <w:r w:rsidR="0026291C">
        <w:t>e</w:t>
      </w:r>
      <w:r>
        <w:t xml:space="preserve"> terminal</w:t>
      </w:r>
      <w:r w:rsidR="0026291C">
        <w:t>e</w:t>
      </w:r>
      <w:r>
        <w:t xml:space="preserve"> (HHT), </w:t>
      </w:r>
      <w:r w:rsidR="00AF7006">
        <w:t>e</w:t>
      </w:r>
      <w:r w:rsidR="0026291C">
        <w:t>-</w:t>
      </w:r>
      <w:r>
        <w:t>prodaj</w:t>
      </w:r>
      <w:r w:rsidR="0026291C">
        <w:t>u</w:t>
      </w:r>
      <w:r>
        <w:t>, aplikacij</w:t>
      </w:r>
      <w:r w:rsidR="0026291C">
        <w:t>u</w:t>
      </w:r>
      <w:r>
        <w:t xml:space="preserve"> (pametni telefoni) i integrator. </w:t>
      </w:r>
    </w:p>
    <w:p w14:paraId="0ECDF5D9" w14:textId="77777777" w:rsidR="00222DAE" w:rsidRDefault="00222DAE" w:rsidP="00222DAE">
      <w:r>
        <w:t>U budućem razdoblju planirana je nadogradnja HŽPP-ov</w:t>
      </w:r>
      <w:r w:rsidR="0026291C">
        <w:t>a</w:t>
      </w:r>
      <w:r>
        <w:t xml:space="preserve"> prodajnog sustava koj</w:t>
      </w:r>
      <w:r w:rsidR="0026291C">
        <w:t>i</w:t>
      </w:r>
      <w:r>
        <w:t xml:space="preserve"> će</w:t>
      </w:r>
      <w:r w:rsidR="008862B4">
        <w:t xml:space="preserve"> se</w:t>
      </w:r>
      <w:r>
        <w:t xml:space="preserve"> dodatno modernizirati, ali i proširiti prodajne kanale.</w:t>
      </w:r>
    </w:p>
    <w:p w14:paraId="0E5D3D35" w14:textId="77777777" w:rsidR="00222DAE" w:rsidRDefault="00222DAE" w:rsidP="00222DAE">
      <w:pPr>
        <w:rPr>
          <w:rFonts w:cs="Arial"/>
        </w:rPr>
      </w:pPr>
      <w:r w:rsidRPr="005C1BA8">
        <w:rPr>
          <w:szCs w:val="24"/>
        </w:rPr>
        <w:t xml:space="preserve">Na samu uslugu </w:t>
      </w:r>
      <w:r>
        <w:rPr>
          <w:szCs w:val="24"/>
        </w:rPr>
        <w:t xml:space="preserve">putničkog </w:t>
      </w:r>
      <w:r w:rsidRPr="005C1BA8">
        <w:rPr>
          <w:szCs w:val="24"/>
        </w:rPr>
        <w:t xml:space="preserve">prijevoza, kao i broj korisnika, najviše utječu radovi na željezničkoj infrastrukturi </w:t>
      </w:r>
      <w:r w:rsidR="0026291C">
        <w:rPr>
          <w:szCs w:val="24"/>
        </w:rPr>
        <w:t>koji vode do</w:t>
      </w:r>
      <w:r w:rsidRPr="005C1BA8">
        <w:rPr>
          <w:szCs w:val="24"/>
        </w:rPr>
        <w:t xml:space="preserve"> kašnjenja</w:t>
      </w:r>
      <w:r>
        <w:rPr>
          <w:szCs w:val="24"/>
        </w:rPr>
        <w:t xml:space="preserve"> te</w:t>
      </w:r>
      <w:r w:rsidRPr="005C1BA8">
        <w:rPr>
          <w:szCs w:val="24"/>
        </w:rPr>
        <w:t xml:space="preserve"> uvođenja zamjenskog prijevoza autobusima.</w:t>
      </w:r>
      <w:r w:rsidRPr="00746256">
        <w:rPr>
          <w:rFonts w:cs="Arial"/>
        </w:rPr>
        <w:t xml:space="preserve"> </w:t>
      </w:r>
      <w:r>
        <w:rPr>
          <w:rFonts w:cs="Arial"/>
        </w:rPr>
        <w:t xml:space="preserve">Međutim, anketa </w:t>
      </w:r>
      <w:r w:rsidRPr="00746256">
        <w:t xml:space="preserve">u sklopu programa kontinuiranog praćenja zadovoljstva korisnika prijevozne usluge </w:t>
      </w:r>
      <w:r>
        <w:t xml:space="preserve">koju je 2020. godine proveo HŽPP ukazuje da </w:t>
      </w:r>
      <w:r w:rsidRPr="00746256">
        <w:rPr>
          <w:rFonts w:cs="Arial"/>
        </w:rPr>
        <w:t>postoje jasni nedostatci u samoj mreži HŽPP-a po pitanju kvalitete pružene usluge</w:t>
      </w:r>
      <w:r>
        <w:rPr>
          <w:rFonts w:cs="Arial"/>
        </w:rPr>
        <w:t>. Korisnici usluga prijevoza kao slabu su ocijenili pouzdanost prijevoza (44</w:t>
      </w:r>
      <w:r w:rsidR="0026291C">
        <w:rPr>
          <w:rFonts w:cs="Arial"/>
        </w:rPr>
        <w:t xml:space="preserve"> </w:t>
      </w:r>
      <w:r>
        <w:rPr>
          <w:rFonts w:cs="Arial"/>
        </w:rPr>
        <w:t>% ispitanika smatra da je ista loša ili uopće ne odgovara potrebama), vozni red (40</w:t>
      </w:r>
      <w:r w:rsidR="0026291C">
        <w:rPr>
          <w:rFonts w:cs="Arial"/>
        </w:rPr>
        <w:t xml:space="preserve"> </w:t>
      </w:r>
      <w:r>
        <w:rPr>
          <w:rFonts w:cs="Arial"/>
        </w:rPr>
        <w:t>% ispitanika smatra da je isti loš ili uopće ne odgovara potrebama) te trajanje putovanja (50</w:t>
      </w:r>
      <w:r w:rsidR="0026291C">
        <w:rPr>
          <w:rFonts w:cs="Arial"/>
        </w:rPr>
        <w:t xml:space="preserve"> </w:t>
      </w:r>
      <w:r>
        <w:rPr>
          <w:rFonts w:cs="Arial"/>
        </w:rPr>
        <w:t xml:space="preserve">% ispitanika smatra da je isto loše ili uopće ne odgovara potrebama). </w:t>
      </w:r>
    </w:p>
    <w:p w14:paraId="2A01D6A6" w14:textId="77777777" w:rsidR="00222DAE" w:rsidRPr="006C7FE5" w:rsidRDefault="00222DAE" w:rsidP="00222DAE">
      <w:pPr>
        <w:rPr>
          <w:rFonts w:cs="Arial"/>
        </w:rPr>
      </w:pPr>
      <w:r>
        <w:rPr>
          <w:rFonts w:cs="Arial"/>
        </w:rPr>
        <w:t xml:space="preserve">Liberalizacija tržišta usluga prijevoza putnika, </w:t>
      </w:r>
      <w:r w:rsidR="001120CB">
        <w:rPr>
          <w:rFonts w:cs="Arial"/>
        </w:rPr>
        <w:t xml:space="preserve">koja je omogućena </w:t>
      </w:r>
      <w:r>
        <w:rPr>
          <w:rFonts w:cs="Arial"/>
        </w:rPr>
        <w:t>2019. godine</w:t>
      </w:r>
      <w:r w:rsidR="001120CB">
        <w:rPr>
          <w:rFonts w:cs="Arial"/>
        </w:rPr>
        <w:t xml:space="preserve"> stupanjem na snagu Zakona o željeznici</w:t>
      </w:r>
      <w:r>
        <w:rPr>
          <w:rFonts w:cs="Arial"/>
        </w:rPr>
        <w:t xml:space="preserve">, u narednom će </w:t>
      </w:r>
      <w:r w:rsidR="000A5C6F">
        <w:rPr>
          <w:rFonts w:cs="Arial"/>
        </w:rPr>
        <w:t xml:space="preserve">razdoblju </w:t>
      </w:r>
      <w:r>
        <w:rPr>
          <w:rFonts w:cs="Arial"/>
        </w:rPr>
        <w:t xml:space="preserve">svakako uvesti nove operatere na tržište što je zajedno s povećanjem kvalitete usluga HŽPP-a nužno poticati kako bi se podigla ukupna kvaliteta javnog prijevoza putnika željeznicom te povećao broj </w:t>
      </w:r>
      <w:r w:rsidR="008862B4">
        <w:rPr>
          <w:rFonts w:cs="Arial"/>
        </w:rPr>
        <w:t>korisnika željezničkog prijevoza</w:t>
      </w:r>
      <w:r>
        <w:rPr>
          <w:rFonts w:cs="Arial"/>
        </w:rPr>
        <w:t>.</w:t>
      </w:r>
    </w:p>
    <w:p w14:paraId="23946138" w14:textId="77777777" w:rsidR="00222DAE" w:rsidRDefault="00222DAE" w:rsidP="00222DAE"/>
    <w:p w14:paraId="0E625CB1" w14:textId="77777777" w:rsidR="00222DAE" w:rsidRDefault="00222DAE" w:rsidP="00222DAE">
      <w:pPr>
        <w:pStyle w:val="Naslov2"/>
        <w:ind w:left="0" w:firstLine="0"/>
      </w:pPr>
      <w:bookmarkStart w:id="40" w:name="_Toc115987893"/>
      <w:bookmarkStart w:id="41" w:name="_Toc122335622"/>
      <w:r>
        <w:t>Usluga te</w:t>
      </w:r>
      <w:r w:rsidRPr="00A83BEE">
        <w:t>retn</w:t>
      </w:r>
      <w:r>
        <w:t>og</w:t>
      </w:r>
      <w:r w:rsidRPr="00A83BEE">
        <w:t xml:space="preserve"> prijevoz</w:t>
      </w:r>
      <w:bookmarkEnd w:id="40"/>
      <w:r>
        <w:t>a</w:t>
      </w:r>
      <w:bookmarkEnd w:id="41"/>
      <w:r w:rsidRPr="00A83BEE">
        <w:t xml:space="preserve"> </w:t>
      </w:r>
    </w:p>
    <w:p w14:paraId="6E8AA061" w14:textId="77777777" w:rsidR="00222DAE" w:rsidRDefault="00222DAE" w:rsidP="00222DAE">
      <w:r>
        <w:t xml:space="preserve">Pristup teretnim prijevoznicima na željezničku mrežu liberaliziran je od 1. srpnja 2013. godine s pristupanjem RH u EU. U proteklih </w:t>
      </w:r>
      <w:r w:rsidR="00D10551">
        <w:t xml:space="preserve">se </w:t>
      </w:r>
      <w:r>
        <w:t xml:space="preserve">nekoliko godina na godišnjoj razini pojavljuju novi prijevoznici u teretnom prijevozu. U 2022. godini registrirano je ukupno </w:t>
      </w:r>
      <w:r w:rsidR="001120CB">
        <w:t>17</w:t>
      </w:r>
      <w:r>
        <w:t xml:space="preserve"> prijevoznika</w:t>
      </w:r>
      <w:r w:rsidRPr="00EF4D4D">
        <w:t>.</w:t>
      </w:r>
      <w:r>
        <w:t xml:space="preserve"> </w:t>
      </w:r>
      <w:r w:rsidRPr="00544E4A">
        <w:t xml:space="preserve">Po liberalizaciji tržišta i ulasku novih prijevoznika u teretnom </w:t>
      </w:r>
      <w:r w:rsidR="00D10551">
        <w:t xml:space="preserve">je </w:t>
      </w:r>
      <w:r w:rsidRPr="00544E4A">
        <w:t xml:space="preserve">prijevozu zabilježen porast teretnog prijevoza željeznicom s prosječnim godišnjim rastom </w:t>
      </w:r>
      <w:proofErr w:type="spellStart"/>
      <w:r w:rsidRPr="00544E4A">
        <w:t>brutotonskih</w:t>
      </w:r>
      <w:proofErr w:type="spellEnd"/>
      <w:r w:rsidRPr="00544E4A">
        <w:t xml:space="preserve"> kilometara od 10</w:t>
      </w:r>
      <w:r w:rsidR="0026291C">
        <w:t xml:space="preserve"> </w:t>
      </w:r>
      <w:r w:rsidRPr="00544E4A">
        <w:t xml:space="preserve">% u </w:t>
      </w:r>
      <w:r w:rsidR="000A5C6F">
        <w:t>razdoblju</w:t>
      </w:r>
      <w:r w:rsidR="000A5C6F" w:rsidRPr="00544E4A">
        <w:t xml:space="preserve"> </w:t>
      </w:r>
      <w:r w:rsidRPr="00544E4A">
        <w:t>od 2015</w:t>
      </w:r>
      <w:r w:rsidR="0026291C">
        <w:t xml:space="preserve">. do </w:t>
      </w:r>
      <w:r w:rsidRPr="00544E4A">
        <w:t xml:space="preserve">2020. godine te je značajno umanjen udio javnog društva HŽ </w:t>
      </w:r>
      <w:proofErr w:type="spellStart"/>
      <w:r w:rsidRPr="00544E4A">
        <w:t>Cargo</w:t>
      </w:r>
      <w:proofErr w:type="spellEnd"/>
      <w:r w:rsidRPr="00544E4A">
        <w:t xml:space="preserve"> koji je u 2020. godini ostvario 55,7 % ukupno ostvarenih vlak</w:t>
      </w:r>
      <w:r w:rsidR="002A5B9D">
        <w:t>-</w:t>
      </w:r>
      <w:r w:rsidRPr="00544E4A">
        <w:t>kilometara.</w:t>
      </w:r>
    </w:p>
    <w:p w14:paraId="57379E46" w14:textId="77777777" w:rsidR="00222DAE" w:rsidRDefault="00222DAE" w:rsidP="00222DAE">
      <w:r>
        <w:t xml:space="preserve">Na koridoru RH1 pruga M104 (Novska – Tovarnik – DG) ostvaruje najveći teretni željeznički promet što se tiče prevaljenih vlak i </w:t>
      </w:r>
      <w:proofErr w:type="spellStart"/>
      <w:r>
        <w:t>brutotonskih</w:t>
      </w:r>
      <w:proofErr w:type="spellEnd"/>
      <w:r>
        <w:t xml:space="preserve"> kilometara te ima oko 16</w:t>
      </w:r>
      <w:r w:rsidR="0026291C">
        <w:t xml:space="preserve"> </w:t>
      </w:r>
      <w:r>
        <w:t xml:space="preserve">% udjela u ukupnom prometu na godišnjoj razini. Što se tiče ukupno ostvarenog teretnog željezničkog prometa u analiziranom </w:t>
      </w:r>
      <w:r w:rsidR="000A5C6F">
        <w:t>razdoblju</w:t>
      </w:r>
      <w:r>
        <w:t>, na koridoru RH1, najveći broj prevaljenih vlak</w:t>
      </w:r>
      <w:r w:rsidR="00D10551">
        <w:t>-</w:t>
      </w:r>
      <w:r>
        <w:t xml:space="preserve">kilometara zabilježen je 2020. godine u vrijednosti od 2.283.314 </w:t>
      </w:r>
      <w:r w:rsidR="00D10551" w:rsidRPr="00544E4A">
        <w:t>vlak</w:t>
      </w:r>
      <w:r w:rsidR="00D10551">
        <w:t>-</w:t>
      </w:r>
      <w:r w:rsidR="00D10551" w:rsidRPr="00544E4A">
        <w:t>kilometara</w:t>
      </w:r>
      <w:r>
        <w:t>, dok je najveći udio od 32,11</w:t>
      </w:r>
      <w:r w:rsidR="0026291C">
        <w:t xml:space="preserve"> </w:t>
      </w:r>
      <w:r>
        <w:t xml:space="preserve">% u ukupnom prometu zabilježen 2018. godine. </w:t>
      </w:r>
    </w:p>
    <w:p w14:paraId="0BBFD925" w14:textId="77777777" w:rsidR="00222DAE" w:rsidRDefault="00222DAE" w:rsidP="00222DAE">
      <w:r>
        <w:lastRenderedPageBreak/>
        <w:t>Na koridoru RH2 najveći ud</w:t>
      </w:r>
      <w:r w:rsidR="0026291C">
        <w:t>io</w:t>
      </w:r>
      <w:r>
        <w:t xml:space="preserve"> u ukupnom teretnom prometu promatrano ostvaren</w:t>
      </w:r>
      <w:r w:rsidR="00D10551">
        <w:t>im</w:t>
      </w:r>
      <w:r>
        <w:t xml:space="preserve"> vlak i </w:t>
      </w:r>
      <w:proofErr w:type="spellStart"/>
      <w:r>
        <w:t>brutotonsk</w:t>
      </w:r>
      <w:r w:rsidR="00D10551">
        <w:t>im</w:t>
      </w:r>
      <w:proofErr w:type="spellEnd"/>
      <w:r>
        <w:t xml:space="preserve"> kilometr</w:t>
      </w:r>
      <w:r w:rsidR="00D10551">
        <w:t>ima</w:t>
      </w:r>
      <w:r>
        <w:t xml:space="preserve"> ima pruga M202 (Zagreb </w:t>
      </w:r>
      <w:r w:rsidR="002A3D42">
        <w:t xml:space="preserve">Gk </w:t>
      </w:r>
      <w:r>
        <w:t>– Rijeka) od gotovo 30</w:t>
      </w:r>
      <w:r w:rsidR="0026291C">
        <w:t xml:space="preserve"> </w:t>
      </w:r>
      <w:r>
        <w:t>%. Što se tiče prevezenih bruto</w:t>
      </w:r>
      <w:r w:rsidR="00D10551">
        <w:t xml:space="preserve"> </w:t>
      </w:r>
      <w:r>
        <w:t xml:space="preserve">tona u odnosu na duljinu dionice, prevladava pruga M201 (DG – </w:t>
      </w:r>
      <w:proofErr w:type="spellStart"/>
      <w:r>
        <w:t>Botovo</w:t>
      </w:r>
      <w:proofErr w:type="spellEnd"/>
      <w:r>
        <w:t xml:space="preserve"> – Dugo Selo) s godišnjim prosjekom od 8,5</w:t>
      </w:r>
      <w:r w:rsidR="002A5B9D">
        <w:t xml:space="preserve"> </w:t>
      </w:r>
      <w:r>
        <w:t>% u odnosu na ukupno prevezene bruto</w:t>
      </w:r>
      <w:r w:rsidR="00D10551">
        <w:t xml:space="preserve"> </w:t>
      </w:r>
      <w:r>
        <w:t xml:space="preserve">tone na cijeloj željezničkoj mreži. Analizirajući ukupni ostvareni promet na koridoru RH2, vlak i </w:t>
      </w:r>
      <w:proofErr w:type="spellStart"/>
      <w:r>
        <w:t>brutotonski</w:t>
      </w:r>
      <w:proofErr w:type="spellEnd"/>
      <w:r>
        <w:t xml:space="preserve"> kilometri rastu postepeno s godinama. Maksimalni prijeđeni kilometri iznose 3.025.866 </w:t>
      </w:r>
      <w:r w:rsidR="00D10551">
        <w:t>vlak-kilometara</w:t>
      </w:r>
      <w:r w:rsidR="00D10551" w:rsidDel="00D10551">
        <w:t xml:space="preserve"> </w:t>
      </w:r>
      <w:r>
        <w:t xml:space="preserve">i 2.612.434.009 </w:t>
      </w:r>
      <w:proofErr w:type="spellStart"/>
      <w:r w:rsidR="00D10551">
        <w:t>brutotonskih</w:t>
      </w:r>
      <w:proofErr w:type="spellEnd"/>
      <w:r w:rsidR="00D10551">
        <w:t xml:space="preserve"> kilometara </w:t>
      </w:r>
      <w:r>
        <w:t>i ostvareni su u 2020. godini uz udijele na ukupnoj željezničkoj mreži od 42,17</w:t>
      </w:r>
      <w:r w:rsidR="002A5B9D">
        <w:t xml:space="preserve"> </w:t>
      </w:r>
      <w:r>
        <w:t>% za vlak</w:t>
      </w:r>
      <w:r w:rsidR="002A5B9D">
        <w:t>-</w:t>
      </w:r>
      <w:r>
        <w:t>kilometre te 42.81</w:t>
      </w:r>
      <w:r w:rsidR="002A5B9D">
        <w:t xml:space="preserve"> </w:t>
      </w:r>
      <w:r>
        <w:t xml:space="preserve">% za </w:t>
      </w:r>
      <w:proofErr w:type="spellStart"/>
      <w:r>
        <w:t>brutotonske</w:t>
      </w:r>
      <w:proofErr w:type="spellEnd"/>
      <w:r>
        <w:t xml:space="preserve"> kilometre. Što se tiče najvećeg udjela ostvarenih </w:t>
      </w:r>
      <w:proofErr w:type="spellStart"/>
      <w:r>
        <w:t>brutotonski</w:t>
      </w:r>
      <w:r w:rsidR="002A5B9D">
        <w:t>h</w:t>
      </w:r>
      <w:proofErr w:type="spellEnd"/>
      <w:r>
        <w:t xml:space="preserve"> kilometara, isti je ostvaren 2017. godine i iznosio je 43,19</w:t>
      </w:r>
      <w:r w:rsidR="002A5B9D">
        <w:t xml:space="preserve"> </w:t>
      </w:r>
      <w:r>
        <w:t>%. Također, najveći broj prevezenih bruto</w:t>
      </w:r>
      <w:r w:rsidR="00D10551">
        <w:t xml:space="preserve"> </w:t>
      </w:r>
      <w:r>
        <w:t xml:space="preserve">tona ostvaren </w:t>
      </w:r>
      <w:r w:rsidR="002A5B9D">
        <w:t xml:space="preserve">je </w:t>
      </w:r>
      <w:r>
        <w:t xml:space="preserve">u istoj godini i iznosio je 18.957.519 </w:t>
      </w:r>
      <w:r w:rsidR="00D10551">
        <w:t>bruto tona</w:t>
      </w:r>
      <w:r w:rsidR="00D10551" w:rsidDel="00D10551">
        <w:t xml:space="preserve"> </w:t>
      </w:r>
      <w:r>
        <w:t>uz ud</w:t>
      </w:r>
      <w:r w:rsidR="002A5B9D">
        <w:t>io</w:t>
      </w:r>
      <w:r>
        <w:t xml:space="preserve"> od 15,8</w:t>
      </w:r>
      <w:r w:rsidR="002A5B9D">
        <w:t xml:space="preserve"> </w:t>
      </w:r>
      <w:r>
        <w:t>%.</w:t>
      </w:r>
    </w:p>
    <w:p w14:paraId="59FA21A1" w14:textId="77777777" w:rsidR="00222DAE" w:rsidRDefault="00222DAE" w:rsidP="00222DAE">
      <w:r>
        <w:t>Koridor RH3 ostvaruje najmanji promet od sv</w:t>
      </w:r>
      <w:r w:rsidR="00F54DF8">
        <w:t>ih</w:t>
      </w:r>
      <w:r>
        <w:t xml:space="preserve"> </w:t>
      </w:r>
      <w:r w:rsidR="002A5B9D">
        <w:t>tri</w:t>
      </w:r>
      <w:r w:rsidR="00F54DF8">
        <w:t>ju</w:t>
      </w:r>
      <w:r>
        <w:t xml:space="preserve"> koridora. Iako bilježi pad u 2020. godini, pruga M304 (DG – Metković – Ploče) ostvaruje najveći broj prijeđenih vlak i </w:t>
      </w:r>
      <w:proofErr w:type="spellStart"/>
      <w:r>
        <w:t>brutotonskih</w:t>
      </w:r>
      <w:proofErr w:type="spellEnd"/>
      <w:r>
        <w:t xml:space="preserve"> kilometara</w:t>
      </w:r>
      <w:r w:rsidR="00D10551">
        <w:t xml:space="preserve"> prema analizi provedenoj svake godine.</w:t>
      </w:r>
      <w:r>
        <w:t xml:space="preserve"> Najuspješnija godina za teretni željeznički prijevoz na ovom koridoru bila </w:t>
      </w:r>
      <w:r w:rsidR="002A5B9D">
        <w:t xml:space="preserve">je </w:t>
      </w:r>
      <w:r>
        <w:t>2019. kada su ostvareni rezultati iznosili 162.045 prijeđenih vlak</w:t>
      </w:r>
      <w:r w:rsidR="002A5B9D">
        <w:t>-</w:t>
      </w:r>
      <w:r>
        <w:t xml:space="preserve">kilometara i 151.938.436 prijeđenih </w:t>
      </w:r>
      <w:proofErr w:type="spellStart"/>
      <w:r>
        <w:t>brutotonskih</w:t>
      </w:r>
      <w:proofErr w:type="spellEnd"/>
      <w:r>
        <w:t xml:space="preserve"> kilometara s udjelima u ukupno ostvarenim godišnjim vlak i </w:t>
      </w:r>
      <w:proofErr w:type="spellStart"/>
      <w:r>
        <w:t>brutotonskim</w:t>
      </w:r>
      <w:proofErr w:type="spellEnd"/>
      <w:r>
        <w:t xml:space="preserve"> kilometrima od 2,49</w:t>
      </w:r>
      <w:r w:rsidR="002A5B9D">
        <w:t xml:space="preserve"> </w:t>
      </w:r>
      <w:r>
        <w:t>% i 2,72</w:t>
      </w:r>
      <w:r w:rsidR="002A5B9D">
        <w:t xml:space="preserve"> </w:t>
      </w:r>
      <w:r>
        <w:t>%. Što se tiče prevezenih bruto</w:t>
      </w:r>
      <w:r w:rsidR="00D10551">
        <w:t xml:space="preserve"> </w:t>
      </w:r>
      <w:r>
        <w:t xml:space="preserve">tona, </w:t>
      </w:r>
      <w:r w:rsidR="00AF7006">
        <w:t>najviše ih je bilo</w:t>
      </w:r>
      <w:r>
        <w:t xml:space="preserve">, promatrajući sami koridor RH3, također 2019. i iznosile su 6.218.781 </w:t>
      </w:r>
      <w:r w:rsidR="00D10551">
        <w:t>bruto tona</w:t>
      </w:r>
      <w:r>
        <w:t>. Ipak, udio u količini prevezenih bruto</w:t>
      </w:r>
      <w:r w:rsidR="00D10551">
        <w:t xml:space="preserve"> </w:t>
      </w:r>
      <w:r>
        <w:t xml:space="preserve">tona na cjelokupnoj željezničkoj mreži bio </w:t>
      </w:r>
      <w:r w:rsidR="00D10551">
        <w:t xml:space="preserve">je </w:t>
      </w:r>
      <w:r>
        <w:t>najviši 2015. godine i iznosio je 5,57</w:t>
      </w:r>
      <w:r w:rsidR="00D10551">
        <w:t xml:space="preserve"> </w:t>
      </w:r>
      <w:r>
        <w:t>%.</w:t>
      </w:r>
    </w:p>
    <w:p w14:paraId="6BE8F860" w14:textId="77777777" w:rsidR="00222DAE" w:rsidRDefault="00222DAE" w:rsidP="00222DAE">
      <w:r>
        <w:t xml:space="preserve">U 2015. godini ostvaren </w:t>
      </w:r>
      <w:r w:rsidR="00D10551">
        <w:t xml:space="preserve">je </w:t>
      </w:r>
      <w:r>
        <w:t>najveći udio prometa ostalih međunarodnih pruga na cjelokupnoj željezničkoj mreži. Međutim, ako se uzmu u obzir vrijednosti ostvarenih rezultata, maksimalni poda</w:t>
      </w:r>
      <w:r w:rsidR="00D10551">
        <w:t>t</w:t>
      </w:r>
      <w:r>
        <w:t xml:space="preserve">ci ostvareni </w:t>
      </w:r>
      <w:r w:rsidR="00D10551">
        <w:t xml:space="preserve">su </w:t>
      </w:r>
      <w:r>
        <w:t>u 2020. godini što ukazuje kako željeznički teretni promet raste u posljednje vrijeme. Vidljiva je velika razlika u ostvarenim vlak</w:t>
      </w:r>
      <w:r w:rsidR="00D10551">
        <w:t>-</w:t>
      </w:r>
      <w:r>
        <w:t>kilometrima</w:t>
      </w:r>
      <w:r w:rsidR="00A71B9D">
        <w:t xml:space="preserve"> –</w:t>
      </w:r>
      <w:r>
        <w:t xml:space="preserve"> odnos pruge M604 (Oštarije – Knin – Split) u odnosu na ostale pruge (red veličina 6:1). Što se tiče trenda promjena, jedine dvije pruge koje su zabilježile konstantan rast u ostvarenim vlak</w:t>
      </w:r>
      <w:r w:rsidR="00A71B9D">
        <w:t>-</w:t>
      </w:r>
      <w:r>
        <w:t xml:space="preserve">kilometrima u svim godinama provođenja analize </w:t>
      </w:r>
      <w:r w:rsidR="00A71B9D">
        <w:t>je</w:t>
      </w:r>
      <w:r>
        <w:t xml:space="preserve">su: M402 (Sava – Zagreb Klara) i M405 (Zagreb ZK – Trešnjevka). Samo je jedna pruga ostavila pozitivan rast u </w:t>
      </w:r>
      <w:r w:rsidR="000A5C6F">
        <w:t xml:space="preserve">razdoblju </w:t>
      </w:r>
      <w:r>
        <w:t xml:space="preserve">od 2015. – 2020. godine, a to je M405 (Zagreb ZK – Trešnjevka). Na željezničkim prugama M408 (Zagreb RK OS – </w:t>
      </w:r>
      <w:proofErr w:type="spellStart"/>
      <w:r>
        <w:t>Mićevac</w:t>
      </w:r>
      <w:proofErr w:type="spellEnd"/>
      <w:r>
        <w:t xml:space="preserve">), M410 (Zagreb RK OS – Zagreb RK PS), M601 (Vinkovci – Vukovar), M606 (Knin – Zadar) i M607 (Perković – Šibenik) u istom razdoblju zabilježen je pad. Ista </w:t>
      </w:r>
      <w:r w:rsidR="00A71B9D">
        <w:t xml:space="preserve">je </w:t>
      </w:r>
      <w:r>
        <w:t xml:space="preserve">situacija i kod </w:t>
      </w:r>
      <w:proofErr w:type="spellStart"/>
      <w:r>
        <w:t>brutonskih</w:t>
      </w:r>
      <w:proofErr w:type="spellEnd"/>
      <w:r>
        <w:t xml:space="preserve"> pokazatelja. </w:t>
      </w:r>
    </w:p>
    <w:p w14:paraId="638D6160" w14:textId="77777777" w:rsidR="00222DAE" w:rsidRDefault="00222DAE" w:rsidP="00222DAE">
      <w:r>
        <w:t>Što se tiče regionalnih pruga</w:t>
      </w:r>
      <w:r w:rsidR="00A71B9D">
        <w:t>,</w:t>
      </w:r>
      <w:r>
        <w:t xml:space="preserve"> može se zaključiti kako je u odnosu na ostale pruge najuspješnija godina bila 2016. s aspekata ostvareni</w:t>
      </w:r>
      <w:r w:rsidR="00A71B9D">
        <w:t>h</w:t>
      </w:r>
      <w:r>
        <w:t xml:space="preserve"> vlak i </w:t>
      </w:r>
      <w:proofErr w:type="spellStart"/>
      <w:r>
        <w:t>brutotonski</w:t>
      </w:r>
      <w:r w:rsidR="00A71B9D">
        <w:t>h</w:t>
      </w:r>
      <w:proofErr w:type="spellEnd"/>
      <w:r>
        <w:t xml:space="preserve"> kilometara te njihovi</w:t>
      </w:r>
      <w:r w:rsidR="00A71B9D">
        <w:t>h</w:t>
      </w:r>
      <w:r>
        <w:t xml:space="preserve"> udjela u ukupnom teretnom željezničkom prometu na željezničkoj mreži RH. No, kada se gledaju ukupno prevezene bruto tone na svim regionalnim prugama, najuspješnija godina bila </w:t>
      </w:r>
      <w:r w:rsidR="00A71B9D">
        <w:t xml:space="preserve">je </w:t>
      </w:r>
      <w:r>
        <w:t>2017.</w:t>
      </w:r>
      <w:r w:rsidR="00A71B9D">
        <w:t>,</w:t>
      </w:r>
      <w:r>
        <w:t xml:space="preserve"> ali najveći ostvareni udio iznosio</w:t>
      </w:r>
      <w:r w:rsidR="00A71B9D">
        <w:t xml:space="preserve"> je</w:t>
      </w:r>
      <w:r>
        <w:t xml:space="preserve"> 2,26</w:t>
      </w:r>
      <w:r w:rsidR="00A71B9D">
        <w:t xml:space="preserve"> </w:t>
      </w:r>
      <w:r>
        <w:t>% i to u 2016. godini.</w:t>
      </w:r>
    </w:p>
    <w:p w14:paraId="41DD8C4C" w14:textId="77777777" w:rsidR="00222DAE" w:rsidRDefault="00222DAE" w:rsidP="00222DAE">
      <w:r>
        <w:t xml:space="preserve">Lokalne pruge ostvaruju mali broj vlak i </w:t>
      </w:r>
      <w:proofErr w:type="spellStart"/>
      <w:r>
        <w:t>brutotonski</w:t>
      </w:r>
      <w:r w:rsidR="00A71B9D">
        <w:t>h</w:t>
      </w:r>
      <w:proofErr w:type="spellEnd"/>
      <w:r>
        <w:t xml:space="preserve"> kilometara te prevoze mali broj bruto tona u odnosu na ukupni teretni željeznički promet. Najveći udjeli za ostvarene vlak</w:t>
      </w:r>
      <w:r w:rsidR="00A71B9D">
        <w:t>-</w:t>
      </w:r>
      <w:r>
        <w:t xml:space="preserve">kilometre i prevezene bruto tone ostvareni </w:t>
      </w:r>
      <w:r w:rsidR="00A71B9D">
        <w:t xml:space="preserve">su </w:t>
      </w:r>
      <w:r>
        <w:t xml:space="preserve">2015. godine dok su ostvareni </w:t>
      </w:r>
      <w:proofErr w:type="spellStart"/>
      <w:r>
        <w:t>brutotonski</w:t>
      </w:r>
      <w:proofErr w:type="spellEnd"/>
      <w:r>
        <w:t xml:space="preserve"> kilometri najveći udio imali 2017. godine. Što se tiče ostvarenog prijevoza na lokalnim prugama u promatranom razdoblju analize, najviše ostvareni vlak i </w:t>
      </w:r>
      <w:proofErr w:type="spellStart"/>
      <w:r>
        <w:t>brutotonski</w:t>
      </w:r>
      <w:proofErr w:type="spellEnd"/>
      <w:r>
        <w:t xml:space="preserve"> kilometri zabilježeni su u 2020. godini</w:t>
      </w:r>
      <w:r w:rsidR="00A71B9D">
        <w:t>,</w:t>
      </w:r>
      <w:r>
        <w:t xml:space="preserve"> dok je najviše bruto tona </w:t>
      </w:r>
      <w:r w:rsidR="00A71B9D">
        <w:t xml:space="preserve">prevezeno </w:t>
      </w:r>
      <w:r>
        <w:t xml:space="preserve">na početku </w:t>
      </w:r>
      <w:r w:rsidR="00A71B9D">
        <w:t xml:space="preserve">razdoblja </w:t>
      </w:r>
      <w:r>
        <w:t xml:space="preserve">analiza u 2015. godini. </w:t>
      </w:r>
      <w:r w:rsidR="00A71B9D">
        <w:t xml:space="preserve">Ako </w:t>
      </w:r>
      <w:r>
        <w:t>se promatra udio u ukupnom prometu, on je vrlo nizak, manji i od 1</w:t>
      </w:r>
      <w:r w:rsidR="00A71B9D">
        <w:t xml:space="preserve"> </w:t>
      </w:r>
      <w:r>
        <w:t>% ukupnog prometa</w:t>
      </w:r>
      <w:r w:rsidR="00A71B9D">
        <w:t>,</w:t>
      </w:r>
      <w:r>
        <w:t xml:space="preserve"> </w:t>
      </w:r>
      <w:r w:rsidR="00A71B9D">
        <w:t>a</w:t>
      </w:r>
      <w:r>
        <w:t xml:space="preserve"> na željezničkim prugama L102, L210, L211, L212 i L213 prijevoz tereta</w:t>
      </w:r>
      <w:r w:rsidR="00A71B9D">
        <w:t xml:space="preserve"> uopće se ne odvija</w:t>
      </w:r>
      <w:r>
        <w:t xml:space="preserve">. </w:t>
      </w:r>
    </w:p>
    <w:p w14:paraId="6B5C1314" w14:textId="77777777" w:rsidR="00222DAE" w:rsidRDefault="00222DAE" w:rsidP="00222DAE">
      <w:r>
        <w:lastRenderedPageBreak/>
        <w:t xml:space="preserve">Većina usluga koju nude željeznički prijevoznici </w:t>
      </w:r>
      <w:r w:rsidR="00A71B9D">
        <w:t>je</w:t>
      </w:r>
      <w:r>
        <w:t xml:space="preserve">su konvencionalni, intermodalni prijevoz i prijevoz opasnih tvari. Promatrajući </w:t>
      </w:r>
      <w:r w:rsidR="00A71B9D">
        <w:t xml:space="preserve">razdoblje </w:t>
      </w:r>
      <w:r>
        <w:t xml:space="preserve">od 2015. godine, teretni </w:t>
      </w:r>
      <w:r w:rsidR="00A71B9D">
        <w:t xml:space="preserve">je </w:t>
      </w:r>
      <w:r>
        <w:t xml:space="preserve">prijevoz u najvećem porastu na koridorima RH1 i RH2 upravo zbog razvoja usluga u </w:t>
      </w:r>
      <w:r w:rsidR="00A71B9D">
        <w:t>L</w:t>
      </w:r>
      <w:r>
        <w:t xml:space="preserve">uci Rijeka (kontejnerski terminali) te uspostave RFC-a. </w:t>
      </w:r>
    </w:p>
    <w:p w14:paraId="4654CD71" w14:textId="77777777" w:rsidR="00222DAE" w:rsidRDefault="00222DAE" w:rsidP="00222DAE">
      <w:r>
        <w:t xml:space="preserve">Kao i slučaju putničkog prijevoza, tako i u teretnom prijevozu, </w:t>
      </w:r>
      <w:r w:rsidR="00A71B9D">
        <w:t xml:space="preserve">zbog </w:t>
      </w:r>
      <w:r>
        <w:t xml:space="preserve">stanja željezničke infrastrukture vlakovi </w:t>
      </w:r>
      <w:r w:rsidR="00A71B9D">
        <w:t xml:space="preserve">dulji </w:t>
      </w:r>
      <w:r>
        <w:t>od prosječno 550 m (negdje i 380 m)</w:t>
      </w:r>
      <w:r w:rsidR="00A71B9D">
        <w:t xml:space="preserve"> ne mogu prometovati</w:t>
      </w:r>
      <w:r>
        <w:t xml:space="preserve">, ne mogu se uvoditi novi vlakovi pa </w:t>
      </w:r>
      <w:r w:rsidR="003F5B16">
        <w:t xml:space="preserve">je </w:t>
      </w:r>
      <w:r>
        <w:t>samim time organizacijski vrlo zahtjevno ostvariti prijevoz planiranih količina tereta. Međutim, to se prvenstveno odnosi na željezničk</w:t>
      </w:r>
      <w:r w:rsidR="003F5B16">
        <w:t>e</w:t>
      </w:r>
      <w:r>
        <w:t xml:space="preserve"> prug</w:t>
      </w:r>
      <w:r w:rsidR="003F5B16">
        <w:t>e</w:t>
      </w:r>
      <w:r>
        <w:t xml:space="preserve"> koridora RH1 i RH2. </w:t>
      </w:r>
    </w:p>
    <w:p w14:paraId="3E5A4689" w14:textId="77777777" w:rsidR="004A1F4A" w:rsidRDefault="00222DAE" w:rsidP="004A1F4A">
      <w:r>
        <w:t xml:space="preserve">Također, s obzirom na promjenu načina prijevoza tereta zadnjih godina, prvenstveno </w:t>
      </w:r>
      <w:r w:rsidR="003F5B16">
        <w:t xml:space="preserve">zbog </w:t>
      </w:r>
      <w:r>
        <w:t xml:space="preserve">gospodarskih prilika, u sve manjem broju službenih mjesta odvija se lokalni rad na utovaru i istovaru tereta, a velik broj industrijskih kolosijeka izvan </w:t>
      </w:r>
      <w:r w:rsidR="003F5B16">
        <w:t xml:space="preserve">je </w:t>
      </w:r>
      <w:r>
        <w:t xml:space="preserve">funkcije dugi niz godina i ne koristi se. </w:t>
      </w:r>
      <w:r w:rsidR="003F5B16">
        <w:t xml:space="preserve">Ako </w:t>
      </w:r>
      <w:r>
        <w:t xml:space="preserve">i postoji potreba za ponovnom aktivacijom, iznosi </w:t>
      </w:r>
      <w:r w:rsidR="003F5B16">
        <w:t xml:space="preserve">su </w:t>
      </w:r>
      <w:r>
        <w:t>obnove visoki i vlasnici, odnosno posjednici</w:t>
      </w:r>
      <w:r w:rsidR="003F5B16">
        <w:t>,</w:t>
      </w:r>
      <w:r>
        <w:t xml:space="preserve"> u većini slučajeva odustaju </w:t>
      </w:r>
      <w:r w:rsidR="003F5B16">
        <w:t>od</w:t>
      </w:r>
      <w:r>
        <w:t xml:space="preserve"> tih investicija te koriste kamionski prijevoz.</w:t>
      </w:r>
      <w:bookmarkEnd w:id="35"/>
      <w:r w:rsidR="004A1F4A">
        <w:t xml:space="preserve"> </w:t>
      </w:r>
      <w:r w:rsidR="004A1F4A">
        <w:br w:type="page"/>
      </w:r>
    </w:p>
    <w:p w14:paraId="2850D17C" w14:textId="77777777" w:rsidR="001E5124" w:rsidRDefault="00D67FE1" w:rsidP="00001FEA">
      <w:pPr>
        <w:pStyle w:val="Naslov1"/>
        <w:tabs>
          <w:tab w:val="clear" w:pos="4384"/>
          <w:tab w:val="num" w:pos="0"/>
        </w:tabs>
        <w:ind w:left="0" w:firstLine="0"/>
      </w:pPr>
      <w:bookmarkStart w:id="42" w:name="_Ref115871959"/>
      <w:bookmarkStart w:id="43" w:name="_Toc122335623"/>
      <w:r w:rsidRPr="00D67FE1">
        <w:lastRenderedPageBreak/>
        <w:t>Srednjoročna vizija razvoja</w:t>
      </w:r>
      <w:bookmarkEnd w:id="36"/>
      <w:bookmarkEnd w:id="42"/>
      <w:bookmarkEnd w:id="43"/>
    </w:p>
    <w:p w14:paraId="3F81421C" w14:textId="77777777" w:rsidR="00AD550F" w:rsidRDefault="008862B4" w:rsidP="00001FEA">
      <w:r>
        <w:t>U suradnji s k</w:t>
      </w:r>
      <w:r w:rsidR="00AD550F">
        <w:t>ljučni</w:t>
      </w:r>
      <w:r>
        <w:t>m</w:t>
      </w:r>
      <w:r w:rsidR="00AD550F">
        <w:t xml:space="preserve"> dionici</w:t>
      </w:r>
      <w:r>
        <w:t>ma</w:t>
      </w:r>
      <w:r w:rsidR="00AD550F">
        <w:t xml:space="preserve"> željezničkog sustava utvr</w:t>
      </w:r>
      <w:r>
        <w:t>đena je</w:t>
      </w:r>
      <w:r w:rsidR="00AD550F">
        <w:t xml:space="preserve"> srednjoročn</w:t>
      </w:r>
      <w:r>
        <w:t>a</w:t>
      </w:r>
      <w:r w:rsidR="00AD550F">
        <w:t xml:space="preserve"> vizij</w:t>
      </w:r>
      <w:r>
        <w:t>a</w:t>
      </w:r>
      <w:r w:rsidR="00AD550F">
        <w:t xml:space="preserve"> razvoja upravljanja željezničkom infrastrukturom </w:t>
      </w:r>
      <w:r w:rsidR="00216408">
        <w:t>i uslužnim objektima</w:t>
      </w:r>
      <w:r w:rsidR="008731E5">
        <w:t xml:space="preserve"> te razvoja</w:t>
      </w:r>
      <w:r w:rsidR="00AD550F">
        <w:t xml:space="preserve"> usluga željezničkog prijevoza</w:t>
      </w:r>
      <w:r w:rsidR="00AD550F" w:rsidRPr="004C70A4">
        <w:t xml:space="preserve"> u </w:t>
      </w:r>
      <w:r w:rsidR="00AD550F">
        <w:t xml:space="preserve">Republici </w:t>
      </w:r>
      <w:r w:rsidR="00AD550F" w:rsidRPr="004C70A4">
        <w:t>Hrvatskoj</w:t>
      </w:r>
      <w:r w:rsidR="00AD550F">
        <w:t xml:space="preserve">: </w:t>
      </w:r>
    </w:p>
    <w:p w14:paraId="5CD211A0" w14:textId="77777777" w:rsidR="00A66AFB" w:rsidRPr="002A3D42" w:rsidRDefault="00AD550F" w:rsidP="00DE1EF8">
      <w:pPr>
        <w:ind w:left="709" w:right="543"/>
        <w:rPr>
          <w:i/>
          <w:iCs/>
          <w:sz w:val="20"/>
          <w:szCs w:val="20"/>
        </w:rPr>
      </w:pPr>
      <w:r w:rsidRPr="002A3D42">
        <w:rPr>
          <w:i/>
          <w:iCs/>
          <w:sz w:val="20"/>
          <w:szCs w:val="20"/>
        </w:rPr>
        <w:t>Do 2030. godine Hrvatska će imati o</w:t>
      </w:r>
      <w:r w:rsidR="00A66AFB" w:rsidRPr="002A3D42">
        <w:rPr>
          <w:i/>
          <w:iCs/>
          <w:sz w:val="20"/>
          <w:szCs w:val="20"/>
        </w:rPr>
        <w:t>drživ</w:t>
      </w:r>
      <w:r w:rsidR="008731E5" w:rsidRPr="002A3D42">
        <w:rPr>
          <w:i/>
          <w:iCs/>
          <w:sz w:val="20"/>
          <w:szCs w:val="20"/>
        </w:rPr>
        <w:t xml:space="preserve"> i konkurentan</w:t>
      </w:r>
      <w:r w:rsidR="00A66AFB" w:rsidRPr="002A3D42">
        <w:rPr>
          <w:i/>
          <w:iCs/>
          <w:sz w:val="20"/>
          <w:szCs w:val="20"/>
        </w:rPr>
        <w:t xml:space="preserve"> željeznički sustav</w:t>
      </w:r>
      <w:r w:rsidR="008731E5" w:rsidRPr="002A3D42">
        <w:rPr>
          <w:i/>
          <w:iCs/>
          <w:sz w:val="20"/>
          <w:szCs w:val="20"/>
        </w:rPr>
        <w:t>,</w:t>
      </w:r>
      <w:r w:rsidR="00A66AFB" w:rsidRPr="002A3D42">
        <w:rPr>
          <w:i/>
          <w:iCs/>
          <w:sz w:val="20"/>
          <w:szCs w:val="20"/>
        </w:rPr>
        <w:t xml:space="preserve"> </w:t>
      </w:r>
      <w:r w:rsidR="008731E5" w:rsidRPr="002A3D42">
        <w:rPr>
          <w:i/>
          <w:iCs/>
          <w:sz w:val="20"/>
          <w:szCs w:val="20"/>
        </w:rPr>
        <w:t xml:space="preserve">siguran i ekonomičan, </w:t>
      </w:r>
      <w:r w:rsidR="00A66AFB" w:rsidRPr="002A3D42">
        <w:rPr>
          <w:i/>
          <w:iCs/>
          <w:sz w:val="20"/>
          <w:szCs w:val="20"/>
        </w:rPr>
        <w:t xml:space="preserve">prilagođen potrebama korisnika te </w:t>
      </w:r>
      <w:r w:rsidR="002A3D42">
        <w:rPr>
          <w:i/>
          <w:iCs/>
          <w:sz w:val="20"/>
          <w:szCs w:val="20"/>
        </w:rPr>
        <w:t xml:space="preserve">koji </w:t>
      </w:r>
      <w:r w:rsidR="00A66AFB" w:rsidRPr="002A3D42">
        <w:rPr>
          <w:i/>
          <w:iCs/>
          <w:sz w:val="20"/>
          <w:szCs w:val="20"/>
        </w:rPr>
        <w:t>u značajnoj mjeri doprinosi zelenoj tranziciji prometnog sustava</w:t>
      </w:r>
      <w:r w:rsidR="00C60BD0" w:rsidRPr="002A3D42">
        <w:rPr>
          <w:i/>
          <w:iCs/>
          <w:sz w:val="20"/>
          <w:szCs w:val="20"/>
        </w:rPr>
        <w:t>.</w:t>
      </w:r>
    </w:p>
    <w:p w14:paraId="01FAFEB8" w14:textId="77777777" w:rsidR="004A1F4A" w:rsidRPr="00E65269" w:rsidRDefault="004A1F4A" w:rsidP="004A1F4A">
      <w:pPr>
        <w:rPr>
          <w:highlight w:val="yellow"/>
        </w:rPr>
      </w:pPr>
      <w:r w:rsidRPr="00211553">
        <w:t xml:space="preserve">U skladu s utvrđenom </w:t>
      </w:r>
      <w:r>
        <w:t xml:space="preserve">srednjoročnom </w:t>
      </w:r>
      <w:r w:rsidRPr="00211553">
        <w:t>vizijom razvoja</w:t>
      </w:r>
      <w:r>
        <w:t xml:space="preserve"> upravljanja </w:t>
      </w:r>
      <w:r w:rsidRPr="00211553">
        <w:t>željezničk</w:t>
      </w:r>
      <w:r>
        <w:t>om</w:t>
      </w:r>
      <w:r w:rsidRPr="00211553">
        <w:t xml:space="preserve"> infrastruktur</w:t>
      </w:r>
      <w:r>
        <w:t>om</w:t>
      </w:r>
      <w:r w:rsidRPr="00487FAD">
        <w:t xml:space="preserve"> i uslužnim objektima</w:t>
      </w:r>
      <w:r>
        <w:t xml:space="preserve"> (Srednjoročna vizija)</w:t>
      </w:r>
      <w:r w:rsidRPr="00211553">
        <w:t xml:space="preserve">, Nacionalnim </w:t>
      </w:r>
      <w:r w:rsidR="00C60BD0">
        <w:t xml:space="preserve">su </w:t>
      </w:r>
      <w:r w:rsidRPr="00211553">
        <w:t xml:space="preserve">planom </w:t>
      </w:r>
      <w:r w:rsidR="00705B83">
        <w:t>za</w:t>
      </w:r>
      <w:r>
        <w:t xml:space="preserve"> razdoblj</w:t>
      </w:r>
      <w:r w:rsidR="00705B83">
        <w:t>e</w:t>
      </w:r>
      <w:r>
        <w:t xml:space="preserve"> </w:t>
      </w:r>
      <w:r w:rsidRPr="00211553">
        <w:t xml:space="preserve">do 2030. godine predviđena značajna ulaganja u </w:t>
      </w:r>
      <w:r>
        <w:t>poboljšanje kvalitete usluga željezničkog prijevoza, bolju integraciju željezničkog prometa s drugima vidovima prometa te poboljšanje energetske učinkovitosti i ekološke prihvatljivosti željezničkog sustava. Provedbom posebnih ciljeva Nacionalnog plana doprinosi se poboljšanju održivosti i konkurentnosti željezničkog prometa, odnosno ostvarenju</w:t>
      </w:r>
      <w:r w:rsidRPr="00211553">
        <w:t xml:space="preserve"> dugoročne vizije</w:t>
      </w:r>
      <w:r>
        <w:t xml:space="preserve"> razvoja</w:t>
      </w:r>
      <w:r w:rsidRPr="00211553">
        <w:t xml:space="preserve"> </w:t>
      </w:r>
      <w:r>
        <w:t xml:space="preserve">željezničke infrastrukture i postizanju strateških ciljeva </w:t>
      </w:r>
      <w:r w:rsidRPr="00211553">
        <w:t>utvrđen</w:t>
      </w:r>
      <w:r>
        <w:t>ih</w:t>
      </w:r>
      <w:r w:rsidRPr="00211553">
        <w:t xml:space="preserve"> Strategijom razvoja željezničkog sustava do 2032. godine.  </w:t>
      </w:r>
    </w:p>
    <w:p w14:paraId="150A9949" w14:textId="77777777" w:rsidR="004A1F4A" w:rsidRDefault="004A1F4A" w:rsidP="004A1F4A">
      <w:r>
        <w:t xml:space="preserve">Održiv sustav upravljanja željezničkom infrastrukturom, kao i razvoj novih usluga željezničkog prijevoza, koje će biti inkluzivne i prilagođene potrebama korisnika, </w:t>
      </w:r>
      <w:r w:rsidRPr="004C70A4">
        <w:t>doprin</w:t>
      </w:r>
      <w:r>
        <w:t>ijet</w:t>
      </w:r>
      <w:r w:rsidR="00437695">
        <w:t xml:space="preserve"> </w:t>
      </w:r>
      <w:r>
        <w:t>će</w:t>
      </w:r>
      <w:r w:rsidRPr="004C70A4">
        <w:t xml:space="preserve"> </w:t>
      </w:r>
      <w:r w:rsidR="008731E5">
        <w:t>većem korištenju željezničkog prijevoza</w:t>
      </w:r>
      <w:r w:rsidR="00705B83">
        <w:t>,</w:t>
      </w:r>
      <w:r w:rsidR="008731E5">
        <w:t xml:space="preserve"> </w:t>
      </w:r>
      <w:r>
        <w:t xml:space="preserve">smanjenju negativnog učinka prometa na okoliš kao i osiguravanju održive mobilnosti na cjelokupnom području Republike Hrvatske. Ispunjenje srednjoročne vizije razvoja </w:t>
      </w:r>
      <w:r w:rsidRPr="00487FAD">
        <w:t>upravljanja željezničkom infrastrukturom i uslužnim objektima</w:t>
      </w:r>
      <w:r>
        <w:t xml:space="preserve"> doprinosi </w:t>
      </w:r>
      <w:r w:rsidRPr="004C70A4">
        <w:t>po</w:t>
      </w:r>
      <w:r>
        <w:t>boljšanju</w:t>
      </w:r>
      <w:r w:rsidRPr="004C70A4">
        <w:t xml:space="preserve"> kvalitete života i </w:t>
      </w:r>
      <w:r>
        <w:t xml:space="preserve">osiguravanju </w:t>
      </w:r>
      <w:r w:rsidRPr="004C70A4">
        <w:t>jednakih prilika za sve</w:t>
      </w:r>
      <w:r>
        <w:t xml:space="preserve"> građane, a </w:t>
      </w:r>
      <w:r w:rsidRPr="004C70A4">
        <w:t xml:space="preserve">samim time i ispunjenju </w:t>
      </w:r>
      <w:r w:rsidR="008862B4">
        <w:t xml:space="preserve">nacionalne </w:t>
      </w:r>
      <w:r w:rsidRPr="004C70A4">
        <w:t xml:space="preserve">vizije razvoja </w:t>
      </w:r>
      <w:r w:rsidR="008862B4">
        <w:t xml:space="preserve">Republike Hrvatske </w:t>
      </w:r>
      <w:r w:rsidRPr="004C70A4">
        <w:t>do 2030.</w:t>
      </w:r>
      <w:r w:rsidR="008862B4">
        <w:t xml:space="preserve"> godine</w:t>
      </w:r>
      <w:r w:rsidRPr="009A298E">
        <w:t xml:space="preserve"> utvrđen</w:t>
      </w:r>
      <w:r>
        <w:t>e</w:t>
      </w:r>
      <w:r w:rsidRPr="009A298E">
        <w:t xml:space="preserve"> u NRS-u 2030</w:t>
      </w:r>
      <w:r w:rsidRPr="004C70A4">
        <w:t xml:space="preserve">. </w:t>
      </w:r>
    </w:p>
    <w:p w14:paraId="52A74117" w14:textId="77777777" w:rsidR="00257843" w:rsidRPr="00257843" w:rsidRDefault="00257843" w:rsidP="00001FEA"/>
    <w:p w14:paraId="7578E957" w14:textId="77777777" w:rsidR="00F273B1" w:rsidRDefault="00F273B1" w:rsidP="00001FEA">
      <w:pPr>
        <w:jc w:val="left"/>
      </w:pPr>
      <w:r>
        <w:br w:type="page"/>
      </w:r>
    </w:p>
    <w:p w14:paraId="3A9CB494" w14:textId="77777777" w:rsidR="00D67FE1" w:rsidRDefault="00D67FE1" w:rsidP="00001FEA">
      <w:pPr>
        <w:pStyle w:val="Naslov1"/>
        <w:tabs>
          <w:tab w:val="clear" w:pos="4384"/>
        </w:tabs>
        <w:ind w:left="0" w:firstLine="0"/>
      </w:pPr>
      <w:bookmarkStart w:id="44" w:name="_Ref115871969"/>
      <w:bookmarkStart w:id="45" w:name="_Toc122335624"/>
      <w:r>
        <w:lastRenderedPageBreak/>
        <w:t>S</w:t>
      </w:r>
      <w:r w:rsidRPr="00D67FE1">
        <w:t>rednjoročn</w:t>
      </w:r>
      <w:r>
        <w:t>e</w:t>
      </w:r>
      <w:r w:rsidRPr="00D67FE1">
        <w:t xml:space="preserve"> razvojn</w:t>
      </w:r>
      <w:r>
        <w:t>e</w:t>
      </w:r>
      <w:r w:rsidRPr="00D67FE1">
        <w:t xml:space="preserve"> potreb</w:t>
      </w:r>
      <w:r>
        <w:t>e</w:t>
      </w:r>
      <w:r w:rsidRPr="00D67FE1">
        <w:t xml:space="preserve"> i razvojni potencijal</w:t>
      </w:r>
      <w:r>
        <w:t>i</w:t>
      </w:r>
      <w:r w:rsidRPr="00D67FE1">
        <w:t xml:space="preserve"> željezničkog s</w:t>
      </w:r>
      <w:r>
        <w:t>ustava</w:t>
      </w:r>
      <w:bookmarkEnd w:id="44"/>
      <w:bookmarkEnd w:id="45"/>
    </w:p>
    <w:p w14:paraId="28C862EA" w14:textId="77777777" w:rsidR="00AC2F1B" w:rsidRDefault="00D40B36" w:rsidP="00001FEA">
      <w:r w:rsidRPr="00D40B36">
        <w:t xml:space="preserve">Temeljem provedene analize stanja, uz uvažavanje </w:t>
      </w:r>
      <w:r w:rsidR="00100B98" w:rsidRPr="00D40B36">
        <w:t>relevantnih</w:t>
      </w:r>
      <w:r w:rsidRPr="00D40B36">
        <w:t xml:space="preserve"> ciljeva u hijerarhijski </w:t>
      </w:r>
      <w:r w:rsidR="0056438A" w:rsidRPr="00D40B36">
        <w:t>nadređenim</w:t>
      </w:r>
      <w:r w:rsidRPr="00D40B36">
        <w:t xml:space="preserve"> aktima strateškog planiranja, definirane su srednjoročne razvojne potrebe i potencijali </w:t>
      </w:r>
      <w:r>
        <w:t xml:space="preserve">upravljanja željezničkom infrastrukturom i uslužnim objektima </w:t>
      </w:r>
      <w:r w:rsidR="00705B83">
        <w:t>te</w:t>
      </w:r>
      <w:r>
        <w:t xml:space="preserve"> razvoja usluga željezničkog prijevoza</w:t>
      </w:r>
      <w:r w:rsidRPr="00D40B36">
        <w:t>, kao što je prikazano u sljedećoj tablici.</w:t>
      </w:r>
    </w:p>
    <w:p w14:paraId="2A8779FC" w14:textId="77777777" w:rsidR="007B3D27" w:rsidRPr="004C70A4" w:rsidRDefault="007B3D27" w:rsidP="00001FEA">
      <w:pPr>
        <w:pStyle w:val="Tijeloteksta"/>
      </w:pPr>
      <w:bookmarkStart w:id="46" w:name="_Toc108787161"/>
      <w:bookmarkStart w:id="47" w:name="_Toc122536065"/>
      <w:r w:rsidRPr="004C70A4">
        <w:t xml:space="preserve">Tablica </w:t>
      </w:r>
      <w:r w:rsidRPr="004C70A4">
        <w:fldChar w:fldCharType="begin"/>
      </w:r>
      <w:r w:rsidRPr="004C70A4">
        <w:instrText xml:space="preserve"> SEQ Tablica \* ARABIC </w:instrText>
      </w:r>
      <w:r w:rsidRPr="004C70A4">
        <w:fldChar w:fldCharType="separate"/>
      </w:r>
      <w:r w:rsidR="00791BDC">
        <w:rPr>
          <w:noProof/>
        </w:rPr>
        <w:t>1</w:t>
      </w:r>
      <w:r w:rsidRPr="004C70A4">
        <w:fldChar w:fldCharType="end"/>
      </w:r>
      <w:r w:rsidR="00705B83">
        <w:t>:</w:t>
      </w:r>
      <w:r>
        <w:t xml:space="preserve"> S</w:t>
      </w:r>
      <w:r w:rsidRPr="006536DC">
        <w:t>rednjoročne razvojne potrebe i razvojni potencijali željezničkog sustava</w:t>
      </w:r>
      <w:bookmarkEnd w:id="46"/>
      <w:bookmarkEnd w:id="47"/>
    </w:p>
    <w:tbl>
      <w:tblPr>
        <w:tblStyle w:val="Svijetlatablicareetke-isticanje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40B36" w:rsidRPr="00782DC4" w14:paraId="2C55161C" w14:textId="77777777" w:rsidTr="0078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A5F7D42" w14:textId="77777777" w:rsidR="00D40B36" w:rsidRPr="00782DC4" w:rsidRDefault="00D40B36" w:rsidP="00001FEA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782DC4">
              <w:rPr>
                <w:rFonts w:cs="Arial"/>
                <w:sz w:val="16"/>
                <w:szCs w:val="16"/>
                <w:lang w:eastAsia="en-US"/>
              </w:rPr>
              <w:t>Srednjoročne razvojne potrebe i potencijali</w:t>
            </w:r>
          </w:p>
        </w:tc>
      </w:tr>
      <w:tr w:rsidR="00D40B36" w:rsidRPr="00782DC4" w14:paraId="7DF1165A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73DEE70" w14:textId="77777777" w:rsidR="00D40B36" w:rsidRPr="00782DC4" w:rsidRDefault="00D40B36" w:rsidP="00001FEA">
            <w:pPr>
              <w:rPr>
                <w:sz w:val="16"/>
                <w:szCs w:val="16"/>
              </w:rPr>
            </w:pPr>
            <w:r w:rsidRPr="00782DC4">
              <w:rPr>
                <w:rFonts w:cs="Arial"/>
                <w:sz w:val="16"/>
                <w:szCs w:val="16"/>
                <w:lang w:eastAsia="en-US"/>
              </w:rPr>
              <w:t xml:space="preserve">1. </w:t>
            </w:r>
            <w:r w:rsidR="005167B1" w:rsidRPr="005167B1">
              <w:rPr>
                <w:rFonts w:cs="Arial"/>
                <w:sz w:val="16"/>
                <w:szCs w:val="16"/>
                <w:lang w:eastAsia="en-US"/>
              </w:rPr>
              <w:t>Poboljšanje održivosti poslovanja javnih željezničkih društava</w:t>
            </w:r>
          </w:p>
        </w:tc>
      </w:tr>
      <w:tr w:rsidR="00134788" w:rsidRPr="00782DC4" w14:paraId="28FB7B1E" w14:textId="77777777" w:rsidTr="00E94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F36878" w14:textId="313040B3" w:rsidR="00134788" w:rsidRPr="00782DC4" w:rsidRDefault="00134788" w:rsidP="00E94B2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  <w:r w:rsidRPr="00782DC4">
              <w:rPr>
                <w:rFonts w:cs="Arial"/>
                <w:sz w:val="16"/>
                <w:szCs w:val="16"/>
                <w:lang w:eastAsia="en-US"/>
              </w:rPr>
              <w:t>.</w:t>
            </w:r>
            <w:r w:rsidRPr="00782DC4">
              <w:rPr>
                <w:sz w:val="16"/>
                <w:szCs w:val="16"/>
              </w:rPr>
              <w:t xml:space="preserve"> </w:t>
            </w:r>
            <w:r w:rsidRPr="00782DC4">
              <w:rPr>
                <w:rFonts w:cs="Arial"/>
                <w:sz w:val="16"/>
                <w:szCs w:val="16"/>
                <w:lang w:eastAsia="en-US"/>
              </w:rPr>
              <w:t>Unapr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jeđenje</w:t>
            </w:r>
            <w:r w:rsidRPr="00782DC4">
              <w:rPr>
                <w:rFonts w:cs="Arial"/>
                <w:sz w:val="16"/>
                <w:szCs w:val="16"/>
                <w:lang w:eastAsia="en-US"/>
              </w:rPr>
              <w:t xml:space="preserve"> ljudsk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ih</w:t>
            </w:r>
            <w:r w:rsidRPr="00782DC4">
              <w:rPr>
                <w:rFonts w:cs="Arial"/>
                <w:sz w:val="16"/>
                <w:szCs w:val="16"/>
                <w:lang w:eastAsia="en-US"/>
              </w:rPr>
              <w:t xml:space="preserve"> potencijal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a</w:t>
            </w:r>
            <w:r w:rsidRPr="00782DC4">
              <w:rPr>
                <w:rFonts w:cs="Arial"/>
                <w:sz w:val="16"/>
                <w:szCs w:val="16"/>
                <w:lang w:eastAsia="en-US"/>
              </w:rPr>
              <w:t xml:space="preserve"> u željezničkom sektoru </w:t>
            </w:r>
          </w:p>
        </w:tc>
      </w:tr>
      <w:tr w:rsidR="00D40B36" w:rsidRPr="00782DC4" w14:paraId="1D75AA1B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2AEF83A" w14:textId="77777777" w:rsidR="00D40B36" w:rsidRPr="00782DC4" w:rsidRDefault="00331085" w:rsidP="00001FE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3.</w:t>
            </w:r>
            <w:r w:rsidR="00D40B36" w:rsidRPr="00782DC4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="00755B66" w:rsidRPr="00782DC4">
              <w:rPr>
                <w:rFonts w:cs="Arial"/>
                <w:sz w:val="16"/>
                <w:szCs w:val="16"/>
                <w:lang w:eastAsia="en-US"/>
              </w:rPr>
              <w:t>Moderniz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acija</w:t>
            </w:r>
            <w:r w:rsidR="00755B66" w:rsidRPr="00782DC4">
              <w:rPr>
                <w:rFonts w:cs="Arial"/>
                <w:sz w:val="16"/>
                <w:szCs w:val="16"/>
                <w:lang w:eastAsia="en-US"/>
              </w:rPr>
              <w:t xml:space="preserve"> željezničk</w:t>
            </w:r>
            <w:r w:rsidR="000A5C6F">
              <w:rPr>
                <w:rFonts w:cs="Arial"/>
                <w:sz w:val="16"/>
                <w:szCs w:val="16"/>
                <w:lang w:eastAsia="en-US"/>
              </w:rPr>
              <w:t>og</w:t>
            </w:r>
            <w:r w:rsidR="00755B66" w:rsidRPr="00782DC4">
              <w:rPr>
                <w:rFonts w:cs="Arial"/>
                <w:sz w:val="16"/>
                <w:szCs w:val="16"/>
                <w:lang w:eastAsia="en-US"/>
              </w:rPr>
              <w:t xml:space="preserve"> vozn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og</w:t>
            </w:r>
            <w:r w:rsidR="00755B66" w:rsidRPr="00782DC4">
              <w:rPr>
                <w:rFonts w:cs="Arial"/>
                <w:sz w:val="16"/>
                <w:szCs w:val="16"/>
                <w:lang w:eastAsia="en-US"/>
              </w:rPr>
              <w:t xml:space="preserve"> park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a</w:t>
            </w:r>
          </w:p>
        </w:tc>
      </w:tr>
      <w:tr w:rsidR="00D40B36" w:rsidRPr="00782DC4" w14:paraId="43B63052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0B89E7" w14:textId="77777777" w:rsidR="00D40B36" w:rsidRPr="00782DC4" w:rsidRDefault="00331085" w:rsidP="00001FE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  <w:r w:rsidR="00D40B36" w:rsidRPr="00782DC4">
              <w:rPr>
                <w:rFonts w:cs="Arial"/>
                <w:sz w:val="16"/>
                <w:szCs w:val="16"/>
                <w:lang w:eastAsia="en-US"/>
              </w:rPr>
              <w:t xml:space="preserve">. </w:t>
            </w:r>
            <w:r w:rsidR="00B0499D" w:rsidRPr="00782DC4">
              <w:rPr>
                <w:rFonts w:cs="Arial"/>
                <w:sz w:val="16"/>
                <w:szCs w:val="16"/>
                <w:lang w:eastAsia="en-US"/>
              </w:rPr>
              <w:t>Poboljš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anje</w:t>
            </w:r>
            <w:r w:rsidR="00B0499D" w:rsidRPr="00782DC4">
              <w:rPr>
                <w:rFonts w:cs="Arial"/>
                <w:sz w:val="16"/>
                <w:szCs w:val="16"/>
                <w:lang w:eastAsia="en-US"/>
              </w:rPr>
              <w:t xml:space="preserve"> usluge željezničkog prijevoza</w:t>
            </w:r>
          </w:p>
        </w:tc>
      </w:tr>
      <w:tr w:rsidR="00D40B36" w:rsidRPr="00782DC4" w14:paraId="27DAD159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68859E" w14:textId="77777777" w:rsidR="00D40B36" w:rsidRPr="00782DC4" w:rsidRDefault="00331085" w:rsidP="00001FE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  <w:r w:rsidR="00D40B36" w:rsidRPr="00782DC4">
              <w:rPr>
                <w:rFonts w:cs="Arial"/>
                <w:sz w:val="16"/>
                <w:szCs w:val="16"/>
                <w:lang w:eastAsia="en-US"/>
              </w:rPr>
              <w:t xml:space="preserve">. </w:t>
            </w:r>
            <w:r w:rsidR="00C15F24" w:rsidRPr="00782DC4">
              <w:rPr>
                <w:rFonts w:cs="Arial"/>
                <w:sz w:val="16"/>
                <w:szCs w:val="16"/>
                <w:lang w:eastAsia="en-US"/>
              </w:rPr>
              <w:t>Osigura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nje</w:t>
            </w:r>
            <w:r w:rsidR="00C15F24" w:rsidRPr="00782DC4">
              <w:rPr>
                <w:rFonts w:cs="Arial"/>
                <w:sz w:val="16"/>
                <w:szCs w:val="16"/>
                <w:lang w:eastAsia="en-US"/>
              </w:rPr>
              <w:t xml:space="preserve"> uvjet</w:t>
            </w:r>
            <w:r w:rsidR="00705B83">
              <w:rPr>
                <w:rFonts w:cs="Arial"/>
                <w:sz w:val="16"/>
                <w:szCs w:val="16"/>
                <w:lang w:eastAsia="en-US"/>
              </w:rPr>
              <w:t>a</w:t>
            </w:r>
            <w:r w:rsidR="00C15F24" w:rsidRPr="00782DC4">
              <w:rPr>
                <w:rFonts w:cs="Arial"/>
                <w:sz w:val="16"/>
                <w:szCs w:val="16"/>
                <w:lang w:eastAsia="en-US"/>
              </w:rPr>
              <w:t xml:space="preserve"> za integrirani urbani prijevoz </w:t>
            </w:r>
            <w:r>
              <w:rPr>
                <w:rFonts w:cs="Arial"/>
                <w:sz w:val="16"/>
                <w:szCs w:val="16"/>
                <w:lang w:eastAsia="en-US"/>
              </w:rPr>
              <w:t>i intermodalni prijevoz</w:t>
            </w:r>
          </w:p>
        </w:tc>
      </w:tr>
    </w:tbl>
    <w:p w14:paraId="109DF9BC" w14:textId="77777777" w:rsidR="001120CB" w:rsidRDefault="001120CB" w:rsidP="00001FEA"/>
    <w:p w14:paraId="17824FD5" w14:textId="77777777" w:rsidR="00E65269" w:rsidRDefault="00871BF2" w:rsidP="00001FEA">
      <w:r>
        <w:t>U nastavku slijedi krat</w:t>
      </w:r>
      <w:r w:rsidR="00705B83">
        <w:t>ak</w:t>
      </w:r>
      <w:r>
        <w:t xml:space="preserve"> opis navedenih srednjoročnih razvojnih potreba i potencijala u skladu s Analizom stanja željezničkog sustava.</w:t>
      </w:r>
    </w:p>
    <w:p w14:paraId="7D3D4A22" w14:textId="77777777" w:rsidR="00871BF2" w:rsidRDefault="00001797" w:rsidP="00001FEA">
      <w:pPr>
        <w:rPr>
          <w:b/>
          <w:bCs/>
        </w:rPr>
      </w:pPr>
      <w:r w:rsidRPr="00FE7BBB">
        <w:rPr>
          <w:b/>
          <w:bCs/>
        </w:rPr>
        <w:t>Razvojna potreba 1</w:t>
      </w:r>
      <w:r w:rsidR="00AF7006">
        <w:rPr>
          <w:b/>
          <w:bCs/>
        </w:rPr>
        <w:t>.</w:t>
      </w:r>
      <w:r w:rsidR="00755B66">
        <w:rPr>
          <w:b/>
          <w:bCs/>
        </w:rPr>
        <w:t xml:space="preserve"> </w:t>
      </w:r>
      <w:r w:rsidR="005167B1" w:rsidRPr="005167B1">
        <w:rPr>
          <w:b/>
          <w:bCs/>
        </w:rPr>
        <w:t>Poboljšanje održivosti poslovanja javnih željezničkih društava</w:t>
      </w:r>
    </w:p>
    <w:p w14:paraId="3351FD8D" w14:textId="77777777" w:rsidR="00134788" w:rsidRDefault="003D249D" w:rsidP="00001FEA">
      <w:pPr>
        <w:rPr>
          <w:rFonts w:cs="Arial"/>
        </w:rPr>
      </w:pPr>
      <w:r>
        <w:rPr>
          <w:rFonts w:cs="Arial"/>
        </w:rPr>
        <w:t xml:space="preserve">U cilju poboljšanja održivosti poslovanja javnih željezničkih društva te unaprjeđenja cjelokupnog </w:t>
      </w:r>
      <w:r w:rsidRPr="00A83BEE">
        <w:rPr>
          <w:rFonts w:cs="Arial"/>
        </w:rPr>
        <w:t xml:space="preserve">upravljanja željezničkim sustavom, u srednjoročnom razdoblju </w:t>
      </w:r>
      <w:r w:rsidR="00AA1369" w:rsidRPr="00A83BEE">
        <w:rPr>
          <w:rFonts w:cs="Arial"/>
        </w:rPr>
        <w:t>potrebno je provesti r</w:t>
      </w:r>
      <w:r w:rsidR="005167B1" w:rsidRPr="00A83BEE">
        <w:rPr>
          <w:rFonts w:cs="Arial"/>
        </w:rPr>
        <w:t>acionalizacij</w:t>
      </w:r>
      <w:r w:rsidR="00AA1369" w:rsidRPr="00A83BEE">
        <w:rPr>
          <w:rFonts w:cs="Arial"/>
        </w:rPr>
        <w:t>u</w:t>
      </w:r>
      <w:r w:rsidR="005167B1" w:rsidRPr="00A83BEE">
        <w:rPr>
          <w:rFonts w:cs="Arial"/>
        </w:rPr>
        <w:t xml:space="preserve"> poslovanja, </w:t>
      </w:r>
      <w:r w:rsidR="00A83BEE" w:rsidRPr="00A83BEE">
        <w:rPr>
          <w:rFonts w:cs="Arial"/>
        </w:rPr>
        <w:t>optimizacij</w:t>
      </w:r>
      <w:r w:rsidR="00A83BEE">
        <w:rPr>
          <w:rFonts w:cs="Arial"/>
        </w:rPr>
        <w:t>u</w:t>
      </w:r>
      <w:r w:rsidR="00A83BEE" w:rsidRPr="00A83BEE">
        <w:rPr>
          <w:rFonts w:cs="Arial"/>
        </w:rPr>
        <w:t xml:space="preserve"> </w:t>
      </w:r>
      <w:r w:rsidR="00AA3B10">
        <w:rPr>
          <w:rFonts w:cs="Arial"/>
        </w:rPr>
        <w:t xml:space="preserve">ustroja i broja </w:t>
      </w:r>
      <w:r w:rsidR="00A83BEE" w:rsidRPr="00A83BEE">
        <w:rPr>
          <w:rFonts w:cs="Arial"/>
        </w:rPr>
        <w:t>radnih mjesta</w:t>
      </w:r>
      <w:r w:rsidR="005167B1" w:rsidRPr="00A83BEE">
        <w:rPr>
          <w:rFonts w:cs="Arial"/>
        </w:rPr>
        <w:t xml:space="preserve">, smanjenje </w:t>
      </w:r>
      <w:r w:rsidR="005041D3">
        <w:rPr>
          <w:rFonts w:cs="Arial"/>
        </w:rPr>
        <w:t xml:space="preserve">operativnih </w:t>
      </w:r>
      <w:r w:rsidR="005167B1" w:rsidRPr="00A83BEE">
        <w:rPr>
          <w:rFonts w:cs="Arial"/>
        </w:rPr>
        <w:t>troškova, povećanje prihoda</w:t>
      </w:r>
      <w:r w:rsidR="005167B1" w:rsidRPr="005167B1">
        <w:rPr>
          <w:rFonts w:cs="Arial"/>
        </w:rPr>
        <w:t>, usvajanje smjernica za korporativno upravljanje OECD-a, optimizacij</w:t>
      </w:r>
      <w:r w:rsidR="00AA1369">
        <w:rPr>
          <w:rFonts w:cs="Arial"/>
        </w:rPr>
        <w:t>u</w:t>
      </w:r>
      <w:r w:rsidR="005167B1" w:rsidRPr="005167B1">
        <w:rPr>
          <w:rFonts w:cs="Arial"/>
        </w:rPr>
        <w:t xml:space="preserve"> svih poslovnih procesa s ciljem boljeg iskorištavanja postojećih administrativnih i tehničkih kapaciteta, </w:t>
      </w:r>
      <w:r w:rsidR="00AA1369">
        <w:rPr>
          <w:rFonts w:cs="Arial"/>
        </w:rPr>
        <w:t xml:space="preserve">kao i </w:t>
      </w:r>
      <w:r w:rsidR="005167B1" w:rsidRPr="005167B1">
        <w:rPr>
          <w:rFonts w:cs="Arial"/>
        </w:rPr>
        <w:t>obnov</w:t>
      </w:r>
      <w:r w:rsidR="00AA1369">
        <w:rPr>
          <w:rFonts w:cs="Arial"/>
        </w:rPr>
        <w:t>u</w:t>
      </w:r>
      <w:r w:rsidR="005167B1" w:rsidRPr="005167B1">
        <w:rPr>
          <w:rFonts w:cs="Arial"/>
        </w:rPr>
        <w:t xml:space="preserve"> </w:t>
      </w:r>
      <w:r w:rsidR="005041D3">
        <w:rPr>
          <w:rFonts w:cs="Arial"/>
        </w:rPr>
        <w:t>te</w:t>
      </w:r>
      <w:r w:rsidR="005167B1" w:rsidRPr="005167B1">
        <w:rPr>
          <w:rFonts w:cs="Arial"/>
        </w:rPr>
        <w:t xml:space="preserve"> aktiviranje </w:t>
      </w:r>
      <w:r w:rsidR="005041D3">
        <w:rPr>
          <w:rFonts w:cs="Arial"/>
        </w:rPr>
        <w:t xml:space="preserve">i bolje iskorištavanje </w:t>
      </w:r>
      <w:r w:rsidR="005167B1" w:rsidRPr="005167B1">
        <w:rPr>
          <w:rFonts w:cs="Arial"/>
        </w:rPr>
        <w:t>imovine u javnom vlasništvu u gospodarske svrhe</w:t>
      </w:r>
      <w:r w:rsidR="00AA1369">
        <w:rPr>
          <w:rFonts w:cs="Arial"/>
        </w:rPr>
        <w:t>.</w:t>
      </w:r>
      <w:r w:rsidR="007B2489" w:rsidRPr="007B2489">
        <w:rPr>
          <w:rFonts w:cs="Arial"/>
        </w:rPr>
        <w:t xml:space="preserve"> </w:t>
      </w:r>
    </w:p>
    <w:p w14:paraId="6B78E628" w14:textId="4B91F402" w:rsidR="00134788" w:rsidRDefault="00134788" w:rsidP="00134788">
      <w:pPr>
        <w:rPr>
          <w:b/>
          <w:bCs/>
        </w:rPr>
      </w:pPr>
      <w:r w:rsidRPr="00FE7BBB">
        <w:rPr>
          <w:b/>
          <w:bCs/>
        </w:rPr>
        <w:t xml:space="preserve">Razvojna potreba </w:t>
      </w:r>
      <w:r>
        <w:rPr>
          <w:b/>
          <w:bCs/>
        </w:rPr>
        <w:t>2</w:t>
      </w:r>
      <w:r w:rsidR="00AF7006">
        <w:rPr>
          <w:b/>
          <w:bCs/>
        </w:rPr>
        <w:t>.</w:t>
      </w:r>
      <w:r w:rsidRPr="00FE7BBB">
        <w:rPr>
          <w:b/>
          <w:bCs/>
        </w:rPr>
        <w:t xml:space="preserve"> </w:t>
      </w:r>
      <w:r w:rsidR="00A92C5A" w:rsidRPr="00A92C5A">
        <w:rPr>
          <w:b/>
          <w:bCs/>
        </w:rPr>
        <w:t>Unaprjeđenje ljudskih potencijala u željezničkom sektoru</w:t>
      </w:r>
      <w:r w:rsidRPr="00FE7BBB">
        <w:rPr>
          <w:b/>
          <w:bCs/>
        </w:rPr>
        <w:t xml:space="preserve"> </w:t>
      </w:r>
    </w:p>
    <w:p w14:paraId="182287DE" w14:textId="77777777" w:rsidR="00134788" w:rsidRDefault="00134788" w:rsidP="00134788">
      <w:r>
        <w:rPr>
          <w:rFonts w:cs="Arial"/>
        </w:rPr>
        <w:t>Željeznički sustav obilježava i n</w:t>
      </w:r>
      <w:r w:rsidRPr="00D3227C">
        <w:rPr>
          <w:rFonts w:cs="Arial"/>
        </w:rPr>
        <w:t>edostatak stručnog osoblja</w:t>
      </w:r>
      <w:r>
        <w:rPr>
          <w:rFonts w:cs="Arial"/>
        </w:rPr>
        <w:t xml:space="preserve"> te </w:t>
      </w:r>
      <w:r w:rsidRPr="00D3227C">
        <w:rPr>
          <w:rFonts w:cs="Arial"/>
        </w:rPr>
        <w:t xml:space="preserve">odlazak stručnjaka iz sustava, </w:t>
      </w:r>
      <w:r>
        <w:rPr>
          <w:rFonts w:cs="Arial"/>
        </w:rPr>
        <w:t xml:space="preserve">naročito iz društava u državnom vlasništvu </w:t>
      </w:r>
      <w:r w:rsidRPr="00D3227C">
        <w:rPr>
          <w:rFonts w:cs="Arial"/>
        </w:rPr>
        <w:t>što dodatno vrši pritisak na njihovu dugoročnu održivost i uspješnost poslovanja.</w:t>
      </w:r>
      <w:bookmarkStart w:id="48" w:name="_Hlk106961697"/>
      <w:r>
        <w:rPr>
          <w:rFonts w:cs="Arial"/>
        </w:rPr>
        <w:t xml:space="preserve"> </w:t>
      </w:r>
      <w:r w:rsidRPr="00D3227C">
        <w:rPr>
          <w:rFonts w:cs="Arial"/>
        </w:rPr>
        <w:t xml:space="preserve">S druge strane, uvođenje novih tehnologija i povećanje zahtjeva za nadzorom prometa i prometnih sredstava podrazumijeva nužnost osposobljavanja postojećeg osoblja i novozaposlenih u skladu s njihovim specifičnim potrebama. </w:t>
      </w:r>
      <w:r>
        <w:rPr>
          <w:rFonts w:cs="Arial"/>
        </w:rPr>
        <w:t xml:space="preserve">Predviđa se </w:t>
      </w:r>
      <w:bookmarkEnd w:id="48"/>
      <w:r>
        <w:rPr>
          <w:rFonts w:cs="Arial"/>
        </w:rPr>
        <w:t>provođenje aktivnosti u</w:t>
      </w:r>
      <w:r w:rsidRPr="00CE1A8F">
        <w:t>skl</w:t>
      </w:r>
      <w:r>
        <w:t>ađenja</w:t>
      </w:r>
      <w:r w:rsidRPr="00CE1A8F">
        <w:t xml:space="preserve"> tehničke i organizacijske vještine radnika u željezničkom sustavu, posebice mladih, s potrebama modernog željezničkog sustava baziranog na znanju, kvaliteti, održivom upravljanju te upotrebi novih (digitalnih) tehnologija.</w:t>
      </w:r>
      <w:r>
        <w:t xml:space="preserve"> </w:t>
      </w:r>
    </w:p>
    <w:p w14:paraId="7FC30285" w14:textId="77777777" w:rsidR="00134788" w:rsidRDefault="00134788" w:rsidP="00134788">
      <w:r>
        <w:t xml:space="preserve">Planira se </w:t>
      </w:r>
      <w:r w:rsidRPr="00396278">
        <w:t xml:space="preserve">uvođenje naprednih sustava upravljanja ljudskim resursima, poticanje/ uspostavljanje centara </w:t>
      </w:r>
      <w:r>
        <w:t>kompetentnosti</w:t>
      </w:r>
      <w:r w:rsidRPr="00396278">
        <w:t xml:space="preserve"> u okviru sektora željezničkog prometa, jačanje administrativnih kapaciteta, modernizacija studijskih i obrazovnih programa za osposobljavanje u željezničkom sustavu, </w:t>
      </w:r>
      <w:r>
        <w:t xml:space="preserve">kao i </w:t>
      </w:r>
      <w:r w:rsidRPr="00396278">
        <w:t>provedba programa stipendiranja za osobe koje se obrazuju za rad u željezničkom sustavu</w:t>
      </w:r>
      <w:r w:rsidR="006D3EF9">
        <w:t xml:space="preserve">. </w:t>
      </w:r>
    </w:p>
    <w:p w14:paraId="7744B554" w14:textId="77777777" w:rsidR="00D67FE1" w:rsidRPr="008020F7" w:rsidRDefault="00001797" w:rsidP="00001FEA">
      <w:pPr>
        <w:rPr>
          <w:b/>
          <w:bCs/>
        </w:rPr>
      </w:pPr>
      <w:bookmarkStart w:id="49" w:name="_Hlk107836923"/>
      <w:r w:rsidRPr="008020F7">
        <w:rPr>
          <w:b/>
          <w:bCs/>
        </w:rPr>
        <w:t xml:space="preserve">Razvojna potreba </w:t>
      </w:r>
      <w:r w:rsidR="00331085">
        <w:rPr>
          <w:b/>
          <w:bCs/>
        </w:rPr>
        <w:t>3</w:t>
      </w:r>
      <w:r w:rsidR="00AF7006">
        <w:rPr>
          <w:b/>
          <w:bCs/>
        </w:rPr>
        <w:t>.</w:t>
      </w:r>
      <w:r w:rsidR="008020F7">
        <w:rPr>
          <w:b/>
          <w:bCs/>
        </w:rPr>
        <w:t xml:space="preserve"> </w:t>
      </w:r>
      <w:r w:rsidR="008020F7" w:rsidRPr="008020F7">
        <w:rPr>
          <w:b/>
          <w:bCs/>
        </w:rPr>
        <w:t>Moderniz</w:t>
      </w:r>
      <w:r w:rsidR="00647202">
        <w:rPr>
          <w:b/>
          <w:bCs/>
        </w:rPr>
        <w:t>acija</w:t>
      </w:r>
      <w:r w:rsidR="008020F7" w:rsidRPr="008020F7">
        <w:rPr>
          <w:b/>
          <w:bCs/>
        </w:rPr>
        <w:t xml:space="preserve"> željezničk</w:t>
      </w:r>
      <w:r w:rsidR="000A5C6F">
        <w:rPr>
          <w:b/>
          <w:bCs/>
        </w:rPr>
        <w:t>og</w:t>
      </w:r>
      <w:r w:rsidR="008020F7" w:rsidRPr="008020F7">
        <w:rPr>
          <w:b/>
          <w:bCs/>
        </w:rPr>
        <w:t xml:space="preserve"> vozn</w:t>
      </w:r>
      <w:r w:rsidR="00647202">
        <w:rPr>
          <w:b/>
          <w:bCs/>
        </w:rPr>
        <w:t>og</w:t>
      </w:r>
      <w:r w:rsidR="008020F7" w:rsidRPr="008020F7">
        <w:rPr>
          <w:b/>
          <w:bCs/>
        </w:rPr>
        <w:t xml:space="preserve"> park</w:t>
      </w:r>
      <w:r w:rsidR="00647202">
        <w:rPr>
          <w:b/>
          <w:bCs/>
        </w:rPr>
        <w:t>a</w:t>
      </w:r>
    </w:p>
    <w:p w14:paraId="21ED5207" w14:textId="77777777" w:rsidR="008020F7" w:rsidRDefault="004A1F4A" w:rsidP="00001FEA">
      <w:r>
        <w:t xml:space="preserve">S obzirom </w:t>
      </w:r>
      <w:r w:rsidR="00647202">
        <w:t xml:space="preserve">na to </w:t>
      </w:r>
      <w:r>
        <w:t xml:space="preserve">da je postojeći vozni park </w:t>
      </w:r>
      <w:r w:rsidRPr="00957B28">
        <w:t xml:space="preserve">zastario (prosječna starost </w:t>
      </w:r>
      <w:r w:rsidR="00957B28" w:rsidRPr="00957B28">
        <w:t>preko 30 godina</w:t>
      </w:r>
      <w:r w:rsidRPr="00957B28">
        <w:t>) i ne odgovara potrebama i zahtjevima korisnika te zaht</w:t>
      </w:r>
      <w:r w:rsidR="00647202">
        <w:t>i</w:t>
      </w:r>
      <w:r w:rsidRPr="00957B28">
        <w:t>jeva visoka</w:t>
      </w:r>
      <w:r>
        <w:t xml:space="preserve"> ulaganja u održavanje, u srednjoročnom razdoblju do 2030. godine</w:t>
      </w:r>
      <w:r w:rsidRPr="007915C9">
        <w:t xml:space="preserve"> nastavit</w:t>
      </w:r>
      <w:r>
        <w:t xml:space="preserve"> će se modernizacija</w:t>
      </w:r>
      <w:r w:rsidRPr="007915C9">
        <w:t xml:space="preserve"> vozn</w:t>
      </w:r>
      <w:r>
        <w:t>og</w:t>
      </w:r>
      <w:r w:rsidRPr="007915C9">
        <w:t xml:space="preserve"> park</w:t>
      </w:r>
      <w:r>
        <w:t>a</w:t>
      </w:r>
      <w:r w:rsidRPr="007915C9">
        <w:t xml:space="preserve"> zamjenom postojećih vozila novima.</w:t>
      </w:r>
      <w:r>
        <w:t xml:space="preserve"> Potrebno je osigurati sredstva za nabavu suvremenih </w:t>
      </w:r>
      <w:r>
        <w:lastRenderedPageBreak/>
        <w:t>željezničkih vučnih i vučenih vozila za teretni prijevoz te vučnih vozila za putnički prijevoz, kao i modernizaciju postojećih vučenih putničkih vozila. Modernizirana i nova vozila moraju biti u skladu s propisanim zahtjevima interoperabilnosti. Također, potrebno je modernizirati i postojeće objekte i tehnološku opremu za održavanje voznog parka.</w:t>
      </w:r>
    </w:p>
    <w:p w14:paraId="2870896C" w14:textId="77777777" w:rsidR="008020F7" w:rsidRPr="00B0499D" w:rsidRDefault="008020F7" w:rsidP="00001FEA">
      <w:pPr>
        <w:rPr>
          <w:b/>
          <w:bCs/>
        </w:rPr>
      </w:pPr>
      <w:r w:rsidRPr="00B0499D">
        <w:rPr>
          <w:b/>
          <w:bCs/>
        </w:rPr>
        <w:t xml:space="preserve">Razvojna potreba </w:t>
      </w:r>
      <w:r w:rsidR="00331085">
        <w:rPr>
          <w:b/>
          <w:bCs/>
        </w:rPr>
        <w:t>4</w:t>
      </w:r>
      <w:r w:rsidR="00AF7006">
        <w:rPr>
          <w:b/>
          <w:bCs/>
        </w:rPr>
        <w:t>.</w:t>
      </w:r>
      <w:r w:rsidR="007915C9" w:rsidRPr="00B0499D">
        <w:rPr>
          <w:b/>
          <w:bCs/>
        </w:rPr>
        <w:t xml:space="preserve"> </w:t>
      </w:r>
      <w:r w:rsidRPr="00B0499D">
        <w:rPr>
          <w:b/>
          <w:bCs/>
        </w:rPr>
        <w:t>Poboljša</w:t>
      </w:r>
      <w:r w:rsidR="00647202">
        <w:rPr>
          <w:b/>
          <w:bCs/>
        </w:rPr>
        <w:t>nje</w:t>
      </w:r>
      <w:r w:rsidRPr="00B0499D">
        <w:rPr>
          <w:b/>
          <w:bCs/>
        </w:rPr>
        <w:t xml:space="preserve"> </w:t>
      </w:r>
      <w:r w:rsidR="00C15F24" w:rsidRPr="00B0499D">
        <w:rPr>
          <w:b/>
          <w:bCs/>
        </w:rPr>
        <w:t>uslug</w:t>
      </w:r>
      <w:r w:rsidR="00647202">
        <w:rPr>
          <w:b/>
          <w:bCs/>
        </w:rPr>
        <w:t>a</w:t>
      </w:r>
      <w:r w:rsidRPr="00B0499D">
        <w:rPr>
          <w:b/>
          <w:bCs/>
        </w:rPr>
        <w:t xml:space="preserve"> željezničkog prijevoza</w:t>
      </w:r>
    </w:p>
    <w:p w14:paraId="0054B487" w14:textId="77777777" w:rsidR="00957B28" w:rsidRDefault="00957B28" w:rsidP="00957B28">
      <w:r>
        <w:t xml:space="preserve">S ciljem unaprjeđenja usluge željezničkog prijevoza, potrebno je </w:t>
      </w:r>
      <w:r>
        <w:rPr>
          <w:rFonts w:cs="Arial"/>
        </w:rPr>
        <w:t>n</w:t>
      </w:r>
      <w:r w:rsidRPr="000C3192">
        <w:rPr>
          <w:rFonts w:cs="Arial"/>
        </w:rPr>
        <w:t>astavit</w:t>
      </w:r>
      <w:r>
        <w:rPr>
          <w:rFonts w:cs="Arial"/>
        </w:rPr>
        <w:t>i</w:t>
      </w:r>
      <w:r w:rsidRPr="000C3192">
        <w:rPr>
          <w:rFonts w:cs="Arial"/>
        </w:rPr>
        <w:t xml:space="preserve"> s potica</w:t>
      </w:r>
      <w:r>
        <w:rPr>
          <w:rFonts w:cs="Arial"/>
        </w:rPr>
        <w:t>njem</w:t>
      </w:r>
      <w:r w:rsidRPr="000C3192">
        <w:rPr>
          <w:rFonts w:cs="Arial"/>
        </w:rPr>
        <w:t xml:space="preserve"> javn</w:t>
      </w:r>
      <w:r>
        <w:rPr>
          <w:rFonts w:cs="Arial"/>
        </w:rPr>
        <w:t>e</w:t>
      </w:r>
      <w:r w:rsidRPr="000C3192">
        <w:rPr>
          <w:rFonts w:cs="Arial"/>
        </w:rPr>
        <w:t xml:space="preserve"> uslug</w:t>
      </w:r>
      <w:r>
        <w:rPr>
          <w:rFonts w:cs="Arial"/>
        </w:rPr>
        <w:t>e</w:t>
      </w:r>
      <w:r w:rsidRPr="000C3192">
        <w:rPr>
          <w:rFonts w:cs="Arial"/>
        </w:rPr>
        <w:t xml:space="preserve"> putničkog prijevoza te</w:t>
      </w:r>
      <w:r>
        <w:rPr>
          <w:rFonts w:cs="Arial"/>
        </w:rPr>
        <w:t xml:space="preserve"> </w:t>
      </w:r>
      <w:r w:rsidRPr="000C3192">
        <w:rPr>
          <w:rFonts w:cs="Arial"/>
        </w:rPr>
        <w:t xml:space="preserve">putem PSO ugovora upravljati razinom kvalitete prijevozne usluge i </w:t>
      </w:r>
      <w:r>
        <w:rPr>
          <w:rFonts w:cs="Arial"/>
        </w:rPr>
        <w:t xml:space="preserve">osigurati </w:t>
      </w:r>
      <w:r w:rsidRPr="000C3192">
        <w:rPr>
          <w:rFonts w:cs="Arial"/>
        </w:rPr>
        <w:t>optimaln</w:t>
      </w:r>
      <w:r>
        <w:rPr>
          <w:rFonts w:cs="Arial"/>
        </w:rPr>
        <w:t>u</w:t>
      </w:r>
      <w:r w:rsidRPr="000C3192">
        <w:rPr>
          <w:rFonts w:cs="Arial"/>
        </w:rPr>
        <w:t xml:space="preserve"> organizacij</w:t>
      </w:r>
      <w:r>
        <w:rPr>
          <w:rFonts w:cs="Arial"/>
        </w:rPr>
        <w:t>u</w:t>
      </w:r>
      <w:r w:rsidRPr="000C3192">
        <w:rPr>
          <w:rFonts w:cs="Arial"/>
        </w:rPr>
        <w:t xml:space="preserve"> </w:t>
      </w:r>
      <w:r>
        <w:rPr>
          <w:rFonts w:cs="Arial"/>
        </w:rPr>
        <w:t xml:space="preserve">željezničkog putničkog </w:t>
      </w:r>
      <w:r w:rsidR="009620AD">
        <w:rPr>
          <w:rFonts w:cs="Arial"/>
        </w:rPr>
        <w:t xml:space="preserve">prometa </w:t>
      </w:r>
      <w:r>
        <w:rPr>
          <w:rFonts w:cs="Arial"/>
        </w:rPr>
        <w:t>u skladu sa stvarnim potrebama korisnika</w:t>
      </w:r>
      <w:r w:rsidRPr="000C3192">
        <w:rPr>
          <w:rFonts w:cs="Arial"/>
        </w:rPr>
        <w:t>.</w:t>
      </w:r>
      <w:r>
        <w:rPr>
          <w:rFonts w:cs="Arial"/>
        </w:rPr>
        <w:t xml:space="preserve"> Potrebno je </w:t>
      </w:r>
      <w:r w:rsidRPr="00B0499D">
        <w:rPr>
          <w:rFonts w:cs="Arial"/>
        </w:rPr>
        <w:t>uv</w:t>
      </w:r>
      <w:r>
        <w:rPr>
          <w:rFonts w:cs="Arial"/>
        </w:rPr>
        <w:t>esti suvremene</w:t>
      </w:r>
      <w:r w:rsidRPr="00B0499D">
        <w:rPr>
          <w:rFonts w:cs="Arial"/>
        </w:rPr>
        <w:t xml:space="preserve"> </w:t>
      </w:r>
      <w:r w:rsidRPr="00B0499D">
        <w:t>informacijsko</w:t>
      </w:r>
      <w:r w:rsidR="009620AD">
        <w:t>-</w:t>
      </w:r>
      <w:r w:rsidRPr="00B0499D">
        <w:t>komunikacijsk</w:t>
      </w:r>
      <w:r>
        <w:t>e</w:t>
      </w:r>
      <w:r w:rsidRPr="00B0499D">
        <w:t xml:space="preserve"> </w:t>
      </w:r>
      <w:r>
        <w:t>tehnologije u upravljanje prometom</w:t>
      </w:r>
      <w:r w:rsidRPr="00B0499D">
        <w:t xml:space="preserve"> i digitalizira</w:t>
      </w:r>
      <w:r>
        <w:t>ti</w:t>
      </w:r>
      <w:r w:rsidRPr="00B0499D">
        <w:t xml:space="preserve"> uslug</w:t>
      </w:r>
      <w:r>
        <w:t>e za korisnike</w:t>
      </w:r>
      <w:r w:rsidRPr="00B0499D">
        <w:t xml:space="preserve">, posebice u </w:t>
      </w:r>
      <w:r>
        <w:t xml:space="preserve">prodaji u </w:t>
      </w:r>
      <w:r w:rsidRPr="00B0499D">
        <w:t>putničkom prijevozu</w:t>
      </w:r>
      <w:r>
        <w:t>, koja</w:t>
      </w:r>
      <w:r w:rsidRPr="00B0499D">
        <w:t xml:space="preserve"> ne odgovara suvremenim zahtjevima putnika i nije na razini usluge u razvijenijim zemljama EU. </w:t>
      </w:r>
    </w:p>
    <w:p w14:paraId="4C9E4CAD" w14:textId="77777777" w:rsidR="00957B28" w:rsidRDefault="00957B28" w:rsidP="00957B28">
      <w:bookmarkStart w:id="50" w:name="_Hlk115032298"/>
      <w:r w:rsidRPr="00CA332A">
        <w:t>Potrebno je uvesti nove i prilagoditi postojeće usluge</w:t>
      </w:r>
      <w:r>
        <w:t xml:space="preserve"> željezničkog prijevoza, u skladu sa</w:t>
      </w:r>
      <w:r w:rsidRPr="00CA332A">
        <w:t xml:space="preserve"> zahtjevima korisnika</w:t>
      </w:r>
      <w:r>
        <w:t xml:space="preserve"> te </w:t>
      </w:r>
      <w:r w:rsidRPr="00CA332A">
        <w:t>riješiti problematik</w:t>
      </w:r>
      <w:r>
        <w:t>u</w:t>
      </w:r>
      <w:r w:rsidRPr="00CA332A">
        <w:t xml:space="preserve"> uskih grla u teretnom</w:t>
      </w:r>
      <w:r>
        <w:t xml:space="preserve"> i </w:t>
      </w:r>
      <w:r w:rsidRPr="00CA332A">
        <w:t xml:space="preserve">putničkom prijevozu. </w:t>
      </w:r>
      <w:r>
        <w:t>Također, potrebno je optimizirati i racionalizirati</w:t>
      </w:r>
      <w:r w:rsidRPr="00A83BEE">
        <w:t xml:space="preserve"> korištenj</w:t>
      </w:r>
      <w:r>
        <w:t>e</w:t>
      </w:r>
      <w:r w:rsidRPr="00A83BEE">
        <w:t xml:space="preserve"> željezničke mreže u skladu s mogućnostima i potrebama</w:t>
      </w:r>
      <w:r>
        <w:t xml:space="preserve">, prvenstveno radi </w:t>
      </w:r>
      <w:r w:rsidRPr="00A83BEE">
        <w:t>regionaln</w:t>
      </w:r>
      <w:r>
        <w:t>e</w:t>
      </w:r>
      <w:r w:rsidRPr="00A83BEE">
        <w:t xml:space="preserve"> i lokaln</w:t>
      </w:r>
      <w:r>
        <w:t>e</w:t>
      </w:r>
      <w:r w:rsidRPr="00A83BEE">
        <w:t xml:space="preserve"> povezanosti</w:t>
      </w:r>
      <w:r>
        <w:t xml:space="preserve"> </w:t>
      </w:r>
      <w:bookmarkEnd w:id="50"/>
      <w:r>
        <w:t>(vozni redovi, nove linije itd.)</w:t>
      </w:r>
    </w:p>
    <w:p w14:paraId="6FF05413" w14:textId="77777777" w:rsidR="00957B28" w:rsidRDefault="00957B28" w:rsidP="00957B28">
      <w:r w:rsidRPr="00CA332A">
        <w:t>P</w:t>
      </w:r>
      <w:r>
        <w:t>otrebno je</w:t>
      </w:r>
      <w:r w:rsidRPr="00CA332A">
        <w:t xml:space="preserve"> </w:t>
      </w:r>
      <w:r>
        <w:t xml:space="preserve">poboljšati dugoročno </w:t>
      </w:r>
      <w:r w:rsidRPr="00CA332A">
        <w:t>planiranje</w:t>
      </w:r>
      <w:r>
        <w:t xml:space="preserve"> financijskih</w:t>
      </w:r>
      <w:r w:rsidRPr="00CA332A">
        <w:t xml:space="preserve"> sredstava za učinkovitiju provedbu održavanja </w:t>
      </w:r>
      <w:r>
        <w:t>infrastrukture i voznog parka te posljedično</w:t>
      </w:r>
      <w:r w:rsidRPr="00CA332A">
        <w:t xml:space="preserve"> poboljšanje kvalitete</w:t>
      </w:r>
      <w:r>
        <w:t xml:space="preserve"> usluga</w:t>
      </w:r>
      <w:r w:rsidRPr="00CA332A">
        <w:t xml:space="preserve"> prijevoza.</w:t>
      </w:r>
      <w:r>
        <w:t xml:space="preserve"> </w:t>
      </w:r>
    </w:p>
    <w:p w14:paraId="71D65336" w14:textId="77777777" w:rsidR="003D3EBB" w:rsidRDefault="00001797" w:rsidP="00001FEA">
      <w:pPr>
        <w:rPr>
          <w:b/>
          <w:bCs/>
        </w:rPr>
      </w:pPr>
      <w:r w:rsidRPr="003D3EBB">
        <w:rPr>
          <w:b/>
          <w:bCs/>
        </w:rPr>
        <w:t xml:space="preserve">Razvojna potreba </w:t>
      </w:r>
      <w:r w:rsidR="00331085">
        <w:rPr>
          <w:b/>
          <w:bCs/>
        </w:rPr>
        <w:t>5</w:t>
      </w:r>
      <w:r w:rsidR="00AF7006">
        <w:rPr>
          <w:b/>
          <w:bCs/>
        </w:rPr>
        <w:t>.</w:t>
      </w:r>
      <w:r w:rsidRPr="003D3EBB">
        <w:rPr>
          <w:b/>
          <w:bCs/>
        </w:rPr>
        <w:t xml:space="preserve"> Osigura</w:t>
      </w:r>
      <w:r w:rsidR="009620AD">
        <w:rPr>
          <w:b/>
          <w:bCs/>
        </w:rPr>
        <w:t>nje</w:t>
      </w:r>
      <w:r w:rsidRPr="003D3EBB">
        <w:rPr>
          <w:b/>
          <w:bCs/>
        </w:rPr>
        <w:t xml:space="preserve"> uvjet</w:t>
      </w:r>
      <w:r w:rsidR="009620AD">
        <w:rPr>
          <w:b/>
          <w:bCs/>
        </w:rPr>
        <w:t>a</w:t>
      </w:r>
      <w:r w:rsidRPr="003D3EBB">
        <w:rPr>
          <w:b/>
          <w:bCs/>
        </w:rPr>
        <w:t xml:space="preserve"> za integrirani urbani prijevoz </w:t>
      </w:r>
      <w:r w:rsidR="00331085">
        <w:rPr>
          <w:b/>
          <w:bCs/>
        </w:rPr>
        <w:t xml:space="preserve">i intermodalni prijevoz </w:t>
      </w:r>
    </w:p>
    <w:p w14:paraId="464337A0" w14:textId="77777777" w:rsidR="00B04185" w:rsidRDefault="00B04185" w:rsidP="00B04185">
      <w:bookmarkStart w:id="51" w:name="_Hlk116551447"/>
      <w:r>
        <w:t xml:space="preserve">Trenutačno, javni prijevoz putnika u hrvatskim gradovima djeluje samostalno. Prilikom planiranja prijevozne ponude (vozni red i sl.) </w:t>
      </w:r>
      <w:r w:rsidRPr="00811051">
        <w:t xml:space="preserve">svaki </w:t>
      </w:r>
      <w:r>
        <w:t xml:space="preserve">od sudionika </w:t>
      </w:r>
      <w:r w:rsidRPr="00811051">
        <w:t xml:space="preserve">javnog prijevoza djeluje zasebno u kreiranju </w:t>
      </w:r>
      <w:r>
        <w:t xml:space="preserve">vlastite </w:t>
      </w:r>
      <w:r w:rsidRPr="00811051">
        <w:t>prijevozne ponude</w:t>
      </w:r>
      <w:r>
        <w:t xml:space="preserve">. Navedeno negativno utječe na potražnju zbog čega se korisnici većinom odlučuju za korištenje samo jedne vrste javnog prijevoza ili za korištenje individualnog prijevoza </w:t>
      </w:r>
      <w:r w:rsidR="009620AD">
        <w:t>čiji je</w:t>
      </w:r>
      <w:r>
        <w:t xml:space="preserve"> najveći udio prijevoz s posla na posao</w:t>
      </w:r>
      <w:r w:rsidR="004F1060">
        <w:t>,</w:t>
      </w:r>
      <w:r>
        <w:t xml:space="preserve"> </w:t>
      </w:r>
      <w:r w:rsidR="009620AD">
        <w:t>a</w:t>
      </w:r>
      <w:r>
        <w:t xml:space="preserve"> posljedi</w:t>
      </w:r>
      <w:r w:rsidR="009620AD">
        <w:t>ca</w:t>
      </w:r>
      <w:r>
        <w:t xml:space="preserve"> </w:t>
      </w:r>
      <w:r w:rsidR="009620AD">
        <w:t xml:space="preserve">su </w:t>
      </w:r>
      <w:r>
        <w:t>gužve na cestama većih gradova i prilaznim cestovnim prometnicama u vršn</w:t>
      </w:r>
      <w:r w:rsidR="009620AD">
        <w:t>im</w:t>
      </w:r>
      <w:r>
        <w:t xml:space="preserve"> sat</w:t>
      </w:r>
      <w:r w:rsidR="009620AD">
        <w:t>ima</w:t>
      </w:r>
      <w:r>
        <w:t>. Potrebno je</w:t>
      </w:r>
      <w:r w:rsidRPr="00811051">
        <w:t xml:space="preserve"> integrirati različite v</w:t>
      </w:r>
      <w:r>
        <w:t>rste</w:t>
      </w:r>
      <w:r w:rsidRPr="00811051">
        <w:t xml:space="preserve"> prijevoza u cilju poboljšanja usluge</w:t>
      </w:r>
      <w:r w:rsidR="009620AD">
        <w:t>,</w:t>
      </w:r>
      <w:r w:rsidRPr="00811051">
        <w:t xml:space="preserve"> odnosno prijevozne ponude </w:t>
      </w:r>
      <w:r>
        <w:t>(integrirani i usklađeni vozni red, usklađenje ponude svakog ili pojedinog od oblika javnog prijevoza, jedinstveni tarifni modeli, osiguravanje pomoćne infrastrukture). Također, prilikom uspostavljanja sustava integriranog javnog prijevoza potrebno je osigurati implementaciju ITS</w:t>
      </w:r>
      <w:r w:rsidR="009620AD">
        <w:t>-a</w:t>
      </w:r>
      <w:r>
        <w:t xml:space="preserve"> kako bi se olakšao daljnji razvoj integriranog javnog prijevoza.</w:t>
      </w:r>
    </w:p>
    <w:bookmarkEnd w:id="51"/>
    <w:p w14:paraId="1BB9DC74" w14:textId="77777777" w:rsidR="00957B28" w:rsidRDefault="00C15F24" w:rsidP="00957B28">
      <w:r w:rsidRPr="006F43B9">
        <w:t>Kvalitetn</w:t>
      </w:r>
      <w:r>
        <w:t>i</w:t>
      </w:r>
      <w:r w:rsidRPr="006F43B9">
        <w:t xml:space="preserve"> </w:t>
      </w:r>
      <w:r>
        <w:t>željezničko</w:t>
      </w:r>
      <w:r w:rsidR="002A3D42">
        <w:t xml:space="preserve"> – </w:t>
      </w:r>
      <w:r>
        <w:t>cestovni terminali u unutrašnjosti</w:t>
      </w:r>
      <w:r w:rsidRPr="006F43B9">
        <w:t xml:space="preserve"> omogućit će povećanje udjela željezničkog prijevoza tereta te smanjenje troškova prijevoza naročito na duljim relacijama.</w:t>
      </w:r>
      <w:r>
        <w:t xml:space="preserve"> </w:t>
      </w:r>
      <w:r w:rsidR="00957B28">
        <w:t xml:space="preserve">Nakon izgradnje logističkih centara omogućit će se uvođenje novih usluga intermodalnog prijevoza, povećati broj direktnih vlakova iz luka prema unutrašnjosti kao i omogućiti uvođenje međunarodnog prijevoza intermodalnih jedinica do terminala. </w:t>
      </w:r>
      <w:r w:rsidR="00957B28" w:rsidRPr="00F928BC">
        <w:t xml:space="preserve">Kvalitetne usluge </w:t>
      </w:r>
      <w:r w:rsidR="00CA3179">
        <w:t>i</w:t>
      </w:r>
      <w:r w:rsidR="00957B28" w:rsidRPr="00F928BC">
        <w:t xml:space="preserve"> terminali omogućit će povećanje udjela željezničkog prijevoza te smanjenje troškova prijevoza naročito na duljim relacijama.</w:t>
      </w:r>
    </w:p>
    <w:bookmarkEnd w:id="49"/>
    <w:p w14:paraId="444B1420" w14:textId="77777777" w:rsidR="00782DC4" w:rsidRDefault="00782DC4" w:rsidP="00001FEA">
      <w:pPr>
        <w:spacing w:line="240" w:lineRule="auto"/>
        <w:jc w:val="left"/>
      </w:pPr>
      <w:r>
        <w:br w:type="page"/>
      </w:r>
    </w:p>
    <w:p w14:paraId="0F4FDC21" w14:textId="77777777" w:rsidR="00C50961" w:rsidRDefault="00817609" w:rsidP="00001FEA">
      <w:pPr>
        <w:pStyle w:val="Naslov1"/>
        <w:tabs>
          <w:tab w:val="clear" w:pos="4384"/>
          <w:tab w:val="num" w:pos="0"/>
        </w:tabs>
        <w:ind w:left="0" w:firstLine="0"/>
      </w:pPr>
      <w:bookmarkStart w:id="52" w:name="_Ref115871975"/>
      <w:bookmarkStart w:id="53" w:name="_Toc122335625"/>
      <w:r>
        <w:lastRenderedPageBreak/>
        <w:t>Prioriteti javne politike u srednjoročnom razdoblju</w:t>
      </w:r>
      <w:bookmarkEnd w:id="52"/>
      <w:bookmarkEnd w:id="53"/>
      <w:r>
        <w:t xml:space="preserve"> </w:t>
      </w:r>
    </w:p>
    <w:p w14:paraId="05BCA2ED" w14:textId="77777777" w:rsidR="00A75342" w:rsidRDefault="007B3D27" w:rsidP="00001FEA">
      <w:r w:rsidRPr="004C70A4">
        <w:t xml:space="preserve">U nastavku su navedena srednjoročna prioritetna područja u skladu sa zaključcima analize srednjoročnih razvojnih potreba i razvojnih potencijala. </w:t>
      </w:r>
    </w:p>
    <w:p w14:paraId="30C315C5" w14:textId="77777777" w:rsidR="0090434C" w:rsidRDefault="0090434C" w:rsidP="00001FEA">
      <w:r w:rsidRPr="0090434C">
        <w:t xml:space="preserve">Prioriteti politike utvrđeni </w:t>
      </w:r>
      <w:r w:rsidR="00CA3179">
        <w:t xml:space="preserve">su </w:t>
      </w:r>
      <w:r w:rsidRPr="0090434C">
        <w:t>temeljem rezultata provedene srednjoročne analize stanja željezničkog sustava te temeljem provedenih konzultacija s dionicima u željezničkom sustavu, a doprinijet će ispunjenju utvrđenih srednjoročnih razvojnih potreba i iskorištavanju razvojnih potencijala željezničkog sustava u pogledu učinkovitijeg upravljanja željezničkom infrastrukturom i uslužnim objektima te održivog razvoja i pružanja usluga željezničkog prijevoza</w:t>
      </w:r>
      <w:r>
        <w:t>.</w:t>
      </w:r>
    </w:p>
    <w:p w14:paraId="4726FED5" w14:textId="77777777" w:rsidR="006D3EF9" w:rsidRDefault="006D3EF9" w:rsidP="00001FEA"/>
    <w:p w14:paraId="3E0B0A2B" w14:textId="77777777" w:rsidR="007B3D27" w:rsidRDefault="007B3D27" w:rsidP="00001FEA">
      <w:pPr>
        <w:pStyle w:val="Tijeloteksta"/>
      </w:pPr>
      <w:bookmarkStart w:id="54" w:name="_Toc108787162"/>
      <w:bookmarkStart w:id="55" w:name="_Toc122536066"/>
      <w:r w:rsidRPr="004C70A4">
        <w:t xml:space="preserve">Tablica </w:t>
      </w:r>
      <w:r w:rsidRPr="004C70A4">
        <w:fldChar w:fldCharType="begin"/>
      </w:r>
      <w:r w:rsidRPr="004C70A4">
        <w:instrText xml:space="preserve"> SEQ Tablica \* ARABIC </w:instrText>
      </w:r>
      <w:r w:rsidRPr="004C70A4">
        <w:fldChar w:fldCharType="separate"/>
      </w:r>
      <w:r w:rsidR="006D3EF9">
        <w:rPr>
          <w:noProof/>
        </w:rPr>
        <w:t>2</w:t>
      </w:r>
      <w:r w:rsidRPr="004C70A4">
        <w:fldChar w:fldCharType="end"/>
      </w:r>
      <w:r w:rsidR="00CA3179">
        <w:t>:</w:t>
      </w:r>
      <w:r>
        <w:t xml:space="preserve"> </w:t>
      </w:r>
      <w:r w:rsidRPr="006536DC">
        <w:t>Prioriteti javne politike u srednjoročnom razdoblju</w:t>
      </w:r>
      <w:bookmarkEnd w:id="54"/>
      <w:bookmarkEnd w:id="55"/>
    </w:p>
    <w:tbl>
      <w:tblPr>
        <w:tblStyle w:val="Svijetlatablicareetke-isticanje1"/>
        <w:tblW w:w="5017" w:type="pct"/>
        <w:tblLook w:val="04A0" w:firstRow="1" w:lastRow="0" w:firstColumn="1" w:lastColumn="0" w:noHBand="0" w:noVBand="1"/>
      </w:tblPr>
      <w:tblGrid>
        <w:gridCol w:w="4545"/>
        <w:gridCol w:w="4546"/>
      </w:tblGrid>
      <w:tr w:rsidR="007B3D27" w:rsidRPr="00782DC4" w14:paraId="5E23D0DB" w14:textId="77777777" w:rsidTr="00782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91F6D3" w14:textId="77777777" w:rsidR="007B3D27" w:rsidRPr="00782DC4" w:rsidRDefault="007B3D27" w:rsidP="00001FEA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782DC4">
              <w:rPr>
                <w:rFonts w:cs="Arial"/>
                <w:sz w:val="16"/>
                <w:szCs w:val="16"/>
                <w:lang w:eastAsia="en-US"/>
              </w:rPr>
              <w:t>Srednjoročne razvojne potrebe i potencijali</w:t>
            </w:r>
          </w:p>
        </w:tc>
        <w:tc>
          <w:tcPr>
            <w:tcW w:w="2500" w:type="pct"/>
          </w:tcPr>
          <w:p w14:paraId="22B6E960" w14:textId="77777777" w:rsidR="007B3D27" w:rsidRPr="00782DC4" w:rsidRDefault="007B3D27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en-US"/>
              </w:rPr>
            </w:pPr>
            <w:r w:rsidRPr="00782DC4">
              <w:rPr>
                <w:rFonts w:cs="Arial"/>
                <w:sz w:val="16"/>
                <w:szCs w:val="16"/>
                <w:lang w:eastAsia="en-US"/>
              </w:rPr>
              <w:t>Prioriteti za provedbu</w:t>
            </w:r>
          </w:p>
        </w:tc>
      </w:tr>
      <w:tr w:rsidR="007B3D27" w:rsidRPr="00782DC4" w14:paraId="6CFA1E8D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103841" w14:textId="77777777" w:rsidR="007B3D27" w:rsidRPr="00782DC4" w:rsidRDefault="007B3D27" w:rsidP="00001FEA">
            <w:pPr>
              <w:rPr>
                <w:sz w:val="16"/>
                <w:szCs w:val="16"/>
              </w:rPr>
            </w:pPr>
            <w:bookmarkStart w:id="56" w:name="_Hlk114047073"/>
            <w:r w:rsidRPr="00782DC4">
              <w:rPr>
                <w:rFonts w:cs="Arial"/>
                <w:sz w:val="16"/>
                <w:szCs w:val="16"/>
                <w:lang w:eastAsia="en-US"/>
              </w:rPr>
              <w:t xml:space="preserve">1. </w:t>
            </w:r>
            <w:r w:rsidR="00AD0669" w:rsidRPr="00AD0669">
              <w:rPr>
                <w:rFonts w:cs="Arial"/>
                <w:sz w:val="16"/>
                <w:szCs w:val="16"/>
                <w:lang w:eastAsia="en-US"/>
              </w:rPr>
              <w:t>Poboljšanje održivosti poslovanja javnih željezničkih društava</w:t>
            </w:r>
          </w:p>
        </w:tc>
        <w:tc>
          <w:tcPr>
            <w:tcW w:w="2500" w:type="pct"/>
          </w:tcPr>
          <w:p w14:paraId="4C4ACF28" w14:textId="77777777" w:rsidR="007B3D27" w:rsidRPr="00782DC4" w:rsidRDefault="00502D7E" w:rsidP="00001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en-US"/>
              </w:rPr>
            </w:pPr>
            <w:r w:rsidRPr="00782DC4">
              <w:rPr>
                <w:sz w:val="16"/>
                <w:szCs w:val="16"/>
              </w:rPr>
              <w:t xml:space="preserve">1.1. </w:t>
            </w:r>
            <w:r w:rsidR="009A0387" w:rsidRPr="009A0387">
              <w:rPr>
                <w:sz w:val="16"/>
                <w:szCs w:val="16"/>
              </w:rPr>
              <w:t>Primjena smjernica za korporativno upravljanje OECD-a.</w:t>
            </w:r>
          </w:p>
        </w:tc>
      </w:tr>
      <w:tr w:rsidR="00134788" w:rsidRPr="00782DC4" w14:paraId="6F94A01A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272EC13" w14:textId="77777777" w:rsidR="00134788" w:rsidRPr="00782DC4" w:rsidRDefault="00134788" w:rsidP="00001FEA">
            <w:pPr>
              <w:rPr>
                <w:rFonts w:cs="Arial"/>
                <w:sz w:val="16"/>
                <w:szCs w:val="16"/>
                <w:lang w:eastAsia="en-US"/>
              </w:rPr>
            </w:pPr>
            <w:r w:rsidRPr="00134788">
              <w:rPr>
                <w:rFonts w:cs="Arial"/>
                <w:sz w:val="16"/>
                <w:szCs w:val="16"/>
                <w:lang w:eastAsia="en-US"/>
              </w:rPr>
              <w:t>2. Unaprje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đenje</w:t>
            </w:r>
            <w:r w:rsidRPr="00134788">
              <w:rPr>
                <w:rFonts w:cs="Arial"/>
                <w:sz w:val="16"/>
                <w:szCs w:val="16"/>
                <w:lang w:eastAsia="en-US"/>
              </w:rPr>
              <w:t xml:space="preserve"> ljudsk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ih</w:t>
            </w:r>
            <w:r w:rsidRPr="00134788">
              <w:rPr>
                <w:rFonts w:cs="Arial"/>
                <w:sz w:val="16"/>
                <w:szCs w:val="16"/>
                <w:lang w:eastAsia="en-US"/>
              </w:rPr>
              <w:t xml:space="preserve"> potencijal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a</w:t>
            </w:r>
            <w:r w:rsidRPr="00134788">
              <w:rPr>
                <w:rFonts w:cs="Arial"/>
                <w:sz w:val="16"/>
                <w:szCs w:val="16"/>
                <w:lang w:eastAsia="en-US"/>
              </w:rPr>
              <w:t xml:space="preserve"> u željezničkom sektoru  </w:t>
            </w:r>
          </w:p>
        </w:tc>
        <w:tc>
          <w:tcPr>
            <w:tcW w:w="2500" w:type="pct"/>
          </w:tcPr>
          <w:p w14:paraId="1DD781A0" w14:textId="77777777" w:rsidR="00134788" w:rsidRPr="005017FB" w:rsidRDefault="008C3A6F" w:rsidP="00001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017FB">
              <w:rPr>
                <w:rFonts w:cs="Arial"/>
                <w:sz w:val="16"/>
                <w:szCs w:val="16"/>
                <w:lang w:eastAsia="en-US"/>
              </w:rPr>
              <w:t>2</w:t>
            </w:r>
            <w:r w:rsidR="00134788" w:rsidRPr="005017FB">
              <w:rPr>
                <w:rFonts w:cs="Arial"/>
                <w:sz w:val="16"/>
                <w:szCs w:val="16"/>
                <w:lang w:eastAsia="en-US"/>
              </w:rPr>
              <w:t xml:space="preserve">.1. </w:t>
            </w:r>
            <w:r w:rsidRPr="005017FB">
              <w:rPr>
                <w:rFonts w:cs="Arial"/>
                <w:sz w:val="16"/>
                <w:szCs w:val="16"/>
                <w:lang w:eastAsia="en-US"/>
              </w:rPr>
              <w:t>Osiguravanje dostatnog broja stručnih kadrova</w:t>
            </w:r>
          </w:p>
        </w:tc>
      </w:tr>
      <w:tr w:rsidR="007B3D27" w:rsidRPr="00782DC4" w14:paraId="37DB0AAC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CF0280" w14:textId="77777777" w:rsidR="007B3D27" w:rsidRPr="00782DC4" w:rsidRDefault="00331085" w:rsidP="00001FE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  <w:r w:rsidR="007B3D27" w:rsidRPr="00782DC4">
              <w:rPr>
                <w:rFonts w:cs="Arial"/>
                <w:sz w:val="16"/>
                <w:szCs w:val="16"/>
                <w:lang w:eastAsia="en-US"/>
              </w:rPr>
              <w:t>. Moderniz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acija</w:t>
            </w:r>
            <w:r w:rsidR="007B3D27" w:rsidRPr="00782DC4">
              <w:rPr>
                <w:rFonts w:cs="Arial"/>
                <w:sz w:val="16"/>
                <w:szCs w:val="16"/>
                <w:lang w:eastAsia="en-US"/>
              </w:rPr>
              <w:t xml:space="preserve"> željezničk</w:t>
            </w:r>
            <w:r w:rsidR="000A5C6F">
              <w:rPr>
                <w:rFonts w:cs="Arial"/>
                <w:sz w:val="16"/>
                <w:szCs w:val="16"/>
                <w:lang w:eastAsia="en-US"/>
              </w:rPr>
              <w:t>og</w:t>
            </w:r>
            <w:r w:rsidR="007B3D27" w:rsidRPr="00782DC4">
              <w:rPr>
                <w:rFonts w:cs="Arial"/>
                <w:sz w:val="16"/>
                <w:szCs w:val="16"/>
                <w:lang w:eastAsia="en-US"/>
              </w:rPr>
              <w:t xml:space="preserve"> vozn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og</w:t>
            </w:r>
            <w:r w:rsidR="007B3D27" w:rsidRPr="00782DC4">
              <w:rPr>
                <w:rFonts w:cs="Arial"/>
                <w:sz w:val="16"/>
                <w:szCs w:val="16"/>
                <w:lang w:eastAsia="en-US"/>
              </w:rPr>
              <w:t xml:space="preserve"> park</w:t>
            </w:r>
            <w:r w:rsidR="00CA3179">
              <w:rPr>
                <w:rFonts w:cs="Arial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500" w:type="pct"/>
          </w:tcPr>
          <w:p w14:paraId="279FC87C" w14:textId="66C68412" w:rsidR="007B3D27" w:rsidRPr="00782DC4" w:rsidRDefault="00331085" w:rsidP="00001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  <w:r w:rsidR="00502D7E" w:rsidRPr="00782DC4">
              <w:rPr>
                <w:sz w:val="16"/>
                <w:szCs w:val="16"/>
              </w:rPr>
              <w:t xml:space="preserve">.1. </w:t>
            </w:r>
            <w:r w:rsidR="00FF0339" w:rsidRPr="00782DC4">
              <w:rPr>
                <w:sz w:val="16"/>
                <w:szCs w:val="16"/>
              </w:rPr>
              <w:t>Nabava modernih vozila za prijevoz putnika</w:t>
            </w:r>
            <w:r w:rsidR="00A65EE6">
              <w:rPr>
                <w:sz w:val="16"/>
                <w:szCs w:val="16"/>
              </w:rPr>
              <w:t xml:space="preserve"> </w:t>
            </w:r>
          </w:p>
        </w:tc>
      </w:tr>
      <w:tr w:rsidR="007B3D27" w:rsidRPr="00782DC4" w14:paraId="7ED7F4FB" w14:textId="77777777" w:rsidTr="00782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9354937" w14:textId="0D0C2927" w:rsidR="007B3D27" w:rsidRPr="005C4A83" w:rsidRDefault="00331085" w:rsidP="00001FEA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  <w:r w:rsidR="007B3D27" w:rsidRPr="005C4A83">
              <w:rPr>
                <w:rFonts w:cs="Arial"/>
                <w:sz w:val="16"/>
                <w:szCs w:val="16"/>
                <w:lang w:eastAsia="en-US"/>
              </w:rPr>
              <w:t xml:space="preserve">. </w:t>
            </w:r>
            <w:r w:rsidR="00A65EE6" w:rsidRPr="00A65EE6">
              <w:rPr>
                <w:rFonts w:cs="Arial"/>
                <w:sz w:val="16"/>
                <w:szCs w:val="16"/>
                <w:lang w:eastAsia="en-US"/>
              </w:rPr>
              <w:t>Poboljšanje usluge željezničkog prijevoza</w:t>
            </w:r>
          </w:p>
        </w:tc>
        <w:tc>
          <w:tcPr>
            <w:tcW w:w="2500" w:type="pct"/>
          </w:tcPr>
          <w:p w14:paraId="3C46AFED" w14:textId="77777777" w:rsidR="007B3D27" w:rsidRPr="005C4A83" w:rsidRDefault="00331085" w:rsidP="00001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  <w:r w:rsidR="00502D7E" w:rsidRPr="005C4A83">
              <w:rPr>
                <w:sz w:val="16"/>
                <w:szCs w:val="16"/>
              </w:rPr>
              <w:t xml:space="preserve">.1. </w:t>
            </w:r>
            <w:r w:rsidR="00113A8E" w:rsidRPr="00113A8E">
              <w:rPr>
                <w:sz w:val="16"/>
                <w:szCs w:val="16"/>
              </w:rPr>
              <w:t>Unaprjeđenje usluga integriranog urbanog prijevoza i intermodalnog prijevoza</w:t>
            </w:r>
          </w:p>
        </w:tc>
      </w:tr>
      <w:bookmarkEnd w:id="56"/>
    </w:tbl>
    <w:p w14:paraId="3DDE31E0" w14:textId="77777777" w:rsidR="005C664A" w:rsidRDefault="005C664A" w:rsidP="00001FEA"/>
    <w:p w14:paraId="102C3F69" w14:textId="77777777" w:rsidR="007B5AFD" w:rsidRDefault="00A75342" w:rsidP="00001FEA">
      <w:r>
        <w:t>U nastavku slijedi opis svakog</w:t>
      </w:r>
      <w:r w:rsidR="00CA3179">
        <w:t>a</w:t>
      </w:r>
      <w:r>
        <w:t xml:space="preserve"> od</w:t>
      </w:r>
      <w:r w:rsidRPr="00A75342">
        <w:t xml:space="preserve"> srednjoročn</w:t>
      </w:r>
      <w:r>
        <w:t>ih</w:t>
      </w:r>
      <w:r w:rsidRPr="00A75342">
        <w:t xml:space="preserve"> prioritetn</w:t>
      </w:r>
      <w:r>
        <w:t>ih</w:t>
      </w:r>
      <w:r w:rsidRPr="00A75342">
        <w:t xml:space="preserve"> područja </w:t>
      </w:r>
      <w:r w:rsidR="00FA52AB">
        <w:t>politika upravljanja željezničkom infrastrukturom i uslužnim objektima i razvoja usluga željezničkog prijevoza</w:t>
      </w:r>
      <w:r>
        <w:t xml:space="preserve">. </w:t>
      </w:r>
    </w:p>
    <w:p w14:paraId="0C895B3E" w14:textId="77777777" w:rsidR="00FA52AB" w:rsidRPr="006B20B7" w:rsidRDefault="00FA52AB" w:rsidP="00001FEA">
      <w:pPr>
        <w:jc w:val="left"/>
        <w:rPr>
          <w:b/>
          <w:bCs/>
        </w:rPr>
      </w:pPr>
      <w:r w:rsidRPr="006B20B7">
        <w:rPr>
          <w:b/>
          <w:bCs/>
        </w:rPr>
        <w:t>Prioritet 1.1.</w:t>
      </w:r>
      <w:r w:rsidR="00312A71">
        <w:rPr>
          <w:b/>
          <w:bCs/>
        </w:rPr>
        <w:t xml:space="preserve"> </w:t>
      </w:r>
      <w:r w:rsidR="008A5F83" w:rsidRPr="008A5F83">
        <w:rPr>
          <w:b/>
          <w:bCs/>
        </w:rPr>
        <w:t xml:space="preserve">Primjena smjernica za korporativno upravljanje OECD-a </w:t>
      </w:r>
    </w:p>
    <w:p w14:paraId="0C7E0091" w14:textId="77777777" w:rsidR="005017FB" w:rsidRDefault="00CA3179" w:rsidP="005017FB">
      <w:r>
        <w:t>Ovim</w:t>
      </w:r>
      <w:r w:rsidR="008C050F">
        <w:t xml:space="preserve"> prioritetn</w:t>
      </w:r>
      <w:r>
        <w:t>im</w:t>
      </w:r>
      <w:r w:rsidR="008C050F">
        <w:t xml:space="preserve"> područj</w:t>
      </w:r>
      <w:r>
        <w:t>em</w:t>
      </w:r>
      <w:r w:rsidR="008C050F">
        <w:t xml:space="preserve"> </w:t>
      </w:r>
      <w:r w:rsidR="00134788">
        <w:t xml:space="preserve">za provedbu Nacionalnog plana </w:t>
      </w:r>
      <w:r w:rsidR="00985B13">
        <w:t>plani</w:t>
      </w:r>
      <w:r w:rsidR="008C3A6F">
        <w:t>ra se poboljšati održivost poslovanja javnih željezničkih društava te</w:t>
      </w:r>
      <w:r w:rsidR="000F657A">
        <w:t xml:space="preserve"> posljedično</w:t>
      </w:r>
      <w:r w:rsidR="008C3A6F">
        <w:t xml:space="preserve"> unaprijediti cjelokupno upravljanje željezničkim sustavom. </w:t>
      </w:r>
      <w:r w:rsidR="005017FB">
        <w:t xml:space="preserve">Planira </w:t>
      </w:r>
      <w:r w:rsidR="00985B13">
        <w:t>se o</w:t>
      </w:r>
      <w:r w:rsidR="00985B13" w:rsidRPr="00985B13">
        <w:t>ptimizacij</w:t>
      </w:r>
      <w:r w:rsidR="00985B13">
        <w:t>a</w:t>
      </w:r>
      <w:r w:rsidR="00985B13" w:rsidRPr="00985B13">
        <w:t xml:space="preserve"> upravljačkih i organizacijskih funkcija </w:t>
      </w:r>
      <w:r w:rsidR="000F657A">
        <w:t>javnih željezničkih društava</w:t>
      </w:r>
      <w:r w:rsidR="00DD77CF">
        <w:t xml:space="preserve"> i samih poslovnih procesa u cilju </w:t>
      </w:r>
      <w:r w:rsidR="00DD77CF" w:rsidRPr="00DD77CF">
        <w:t>racionalizacij</w:t>
      </w:r>
      <w:r w:rsidR="00DD77CF">
        <w:t>e</w:t>
      </w:r>
      <w:r w:rsidR="00DD77CF" w:rsidRPr="00DD77CF">
        <w:t xml:space="preserve"> poslovanja</w:t>
      </w:r>
      <w:r w:rsidR="00DD77CF">
        <w:t>.</w:t>
      </w:r>
      <w:r w:rsidR="005017FB" w:rsidRPr="005017FB">
        <w:t xml:space="preserve"> </w:t>
      </w:r>
      <w:r w:rsidR="005017FB">
        <w:t xml:space="preserve">U procesu optimizacije </w:t>
      </w:r>
      <w:r w:rsidR="000F657A">
        <w:t>poslovanja</w:t>
      </w:r>
      <w:r w:rsidR="005017FB">
        <w:t xml:space="preserve"> veliku ulogu ima i digitalizacija </w:t>
      </w:r>
      <w:r w:rsidR="000F657A">
        <w:t>poslovanja</w:t>
      </w:r>
      <w:r w:rsidR="005017FB">
        <w:t xml:space="preserve">, od praćenja operativnih zadataka i investicija do upravljanja ljudskim resursima. </w:t>
      </w:r>
    </w:p>
    <w:p w14:paraId="58E86024" w14:textId="77777777" w:rsidR="008C3A6F" w:rsidRPr="006B20B7" w:rsidRDefault="008C3A6F" w:rsidP="008C3A6F">
      <w:pPr>
        <w:jc w:val="left"/>
        <w:rPr>
          <w:b/>
          <w:bCs/>
        </w:rPr>
      </w:pPr>
      <w:r w:rsidRPr="006B20B7">
        <w:rPr>
          <w:b/>
          <w:bCs/>
        </w:rPr>
        <w:t xml:space="preserve">Prioritet </w:t>
      </w:r>
      <w:r>
        <w:rPr>
          <w:b/>
          <w:bCs/>
        </w:rPr>
        <w:t>2</w:t>
      </w:r>
      <w:r w:rsidRPr="006B20B7">
        <w:rPr>
          <w:b/>
          <w:bCs/>
        </w:rPr>
        <w:t xml:space="preserve">.1. </w:t>
      </w:r>
      <w:r w:rsidRPr="008C3A6F">
        <w:rPr>
          <w:b/>
          <w:bCs/>
        </w:rPr>
        <w:t>Osiguravanje dostatnog broja stručnih kadrova</w:t>
      </w:r>
    </w:p>
    <w:p w14:paraId="65BD1806" w14:textId="77777777" w:rsidR="008160AD" w:rsidRDefault="008160AD" w:rsidP="008160AD">
      <w:r>
        <w:t>U okviru ovog</w:t>
      </w:r>
      <w:r w:rsidRPr="006B20B7">
        <w:t xml:space="preserve"> prioritet</w:t>
      </w:r>
      <w:r>
        <w:t>a</w:t>
      </w:r>
      <w:r w:rsidRPr="006B20B7">
        <w:t xml:space="preserve"> </w:t>
      </w:r>
      <w:r>
        <w:t xml:space="preserve">za provedbu Nacionalnog plana, </w:t>
      </w:r>
      <w:r w:rsidRPr="006B20B7">
        <w:t>ojačat</w:t>
      </w:r>
      <w:r w:rsidR="00437695">
        <w:t xml:space="preserve"> </w:t>
      </w:r>
      <w:r>
        <w:t>će se</w:t>
      </w:r>
      <w:r w:rsidRPr="006B20B7">
        <w:t xml:space="preserve"> i unaprijediti ljudsk</w:t>
      </w:r>
      <w:r>
        <w:t>i</w:t>
      </w:r>
      <w:r w:rsidRPr="006B20B7">
        <w:t xml:space="preserve"> resurs</w:t>
      </w:r>
      <w:r>
        <w:t>i</w:t>
      </w:r>
      <w:r w:rsidRPr="006B20B7">
        <w:t xml:space="preserve"> u </w:t>
      </w:r>
      <w:r>
        <w:t>željezničkom</w:t>
      </w:r>
      <w:r w:rsidRPr="006B20B7">
        <w:t xml:space="preserve"> </w:t>
      </w:r>
      <w:r>
        <w:t>sustavu uključujući sve</w:t>
      </w:r>
      <w:r w:rsidRPr="006B20B7">
        <w:t xml:space="preserve"> ključn</w:t>
      </w:r>
      <w:r>
        <w:t>e</w:t>
      </w:r>
      <w:r w:rsidRPr="006B20B7">
        <w:t xml:space="preserve"> dioni</w:t>
      </w:r>
      <w:r>
        <w:t xml:space="preserve">ke </w:t>
      </w:r>
      <w:r w:rsidRPr="006B20B7">
        <w:t>(</w:t>
      </w:r>
      <w:r w:rsidR="006C3F09">
        <w:t xml:space="preserve">javna </w:t>
      </w:r>
      <w:r>
        <w:t>željeznička društva i privatni operateri, agencije, MMPI, tvrtke u željezničkom sektoru, uključivo inženjerske i konzultantske tvrtke</w:t>
      </w:r>
      <w:r w:rsidRPr="006B20B7">
        <w:t>)</w:t>
      </w:r>
      <w:r>
        <w:t>. Osiguravanje</w:t>
      </w:r>
      <w:r w:rsidRPr="006B20B7">
        <w:t xml:space="preserve"> </w:t>
      </w:r>
      <w:r>
        <w:t>odgovarajućeg broja</w:t>
      </w:r>
      <w:r w:rsidRPr="006B20B7">
        <w:t xml:space="preserve"> </w:t>
      </w:r>
      <w:r>
        <w:t xml:space="preserve">stručnih </w:t>
      </w:r>
      <w:r w:rsidRPr="006B20B7">
        <w:t>kadr</w:t>
      </w:r>
      <w:r>
        <w:t>ova obučenih u skladu s najnovijim trendovima u željezničkom prijevozu poboljšat će operativn</w:t>
      </w:r>
      <w:r w:rsidR="00C37192">
        <w:t>a</w:t>
      </w:r>
      <w:r>
        <w:t xml:space="preserve"> učinkovitost i konkurentnost željezničkog prijevoza te doprinijeti dugoročnoj održivosti u upravljanju hrvatskim željezničkim sustavom</w:t>
      </w:r>
      <w:r w:rsidRPr="006B20B7">
        <w:t>.</w:t>
      </w:r>
    </w:p>
    <w:p w14:paraId="224F7AF1" w14:textId="77777777" w:rsidR="00862DB2" w:rsidRPr="006B20B7" w:rsidRDefault="00862DB2" w:rsidP="00001FEA">
      <w:pPr>
        <w:jc w:val="left"/>
        <w:rPr>
          <w:b/>
          <w:bCs/>
        </w:rPr>
      </w:pPr>
      <w:r w:rsidRPr="006B20B7">
        <w:rPr>
          <w:b/>
          <w:bCs/>
        </w:rPr>
        <w:t xml:space="preserve">Prioritet </w:t>
      </w:r>
      <w:r w:rsidR="00D5657C">
        <w:rPr>
          <w:b/>
          <w:bCs/>
        </w:rPr>
        <w:t>3</w:t>
      </w:r>
      <w:r w:rsidRPr="006B20B7">
        <w:rPr>
          <w:b/>
          <w:bCs/>
        </w:rPr>
        <w:t>.</w:t>
      </w:r>
      <w:r>
        <w:rPr>
          <w:b/>
          <w:bCs/>
        </w:rPr>
        <w:t>1</w:t>
      </w:r>
      <w:r w:rsidRPr="006B20B7">
        <w:rPr>
          <w:b/>
          <w:bCs/>
        </w:rPr>
        <w:t>.</w:t>
      </w:r>
      <w:r w:rsidR="00113A8E">
        <w:rPr>
          <w:b/>
          <w:bCs/>
        </w:rPr>
        <w:t xml:space="preserve"> </w:t>
      </w:r>
      <w:r>
        <w:rPr>
          <w:b/>
          <w:bCs/>
        </w:rPr>
        <w:t xml:space="preserve">Nabava modernih vozila za prijevoz putnika </w:t>
      </w:r>
    </w:p>
    <w:p w14:paraId="5E2C4471" w14:textId="77777777" w:rsidR="00862DB2" w:rsidRDefault="008160AD" w:rsidP="00001FEA">
      <w:r>
        <w:t>U okviru ovog</w:t>
      </w:r>
      <w:r w:rsidR="00C37192">
        <w:t>a</w:t>
      </w:r>
      <w:r>
        <w:t xml:space="preserve"> prioriteta za provedbu Nacionalnog plana u</w:t>
      </w:r>
      <w:r w:rsidRPr="0043282A">
        <w:t>napr</w:t>
      </w:r>
      <w:r>
        <w:t>i</w:t>
      </w:r>
      <w:r w:rsidRPr="0043282A">
        <w:t>je</w:t>
      </w:r>
      <w:r>
        <w:t>dit</w:t>
      </w:r>
      <w:r w:rsidR="00437695">
        <w:t xml:space="preserve"> </w:t>
      </w:r>
      <w:r>
        <w:t xml:space="preserve">će se </w:t>
      </w:r>
      <w:r w:rsidRPr="0043282A">
        <w:t>vozn</w:t>
      </w:r>
      <w:r>
        <w:t>i</w:t>
      </w:r>
      <w:r w:rsidRPr="0043282A">
        <w:t xml:space="preserve"> park </w:t>
      </w:r>
      <w:r>
        <w:t>u putničkom</w:t>
      </w:r>
      <w:r w:rsidRPr="0043282A">
        <w:t xml:space="preserve"> prijevoz</w:t>
      </w:r>
      <w:r>
        <w:t xml:space="preserve">u. Osim nabavke novih pogonskih vozila s </w:t>
      </w:r>
      <w:proofErr w:type="spellStart"/>
      <w:r>
        <w:t>niskougljičnim</w:t>
      </w:r>
      <w:proofErr w:type="spellEnd"/>
      <w:r>
        <w:t xml:space="preserve"> izvorima energije, provest</w:t>
      </w:r>
      <w:r w:rsidR="00437695">
        <w:t xml:space="preserve"> </w:t>
      </w:r>
      <w:r>
        <w:t xml:space="preserve">će se modernizacija postojećih vozila suvremenim </w:t>
      </w:r>
      <w:r w:rsidRPr="0043282A">
        <w:t>pogonski</w:t>
      </w:r>
      <w:r>
        <w:t>m</w:t>
      </w:r>
      <w:r w:rsidRPr="0043282A">
        <w:t xml:space="preserve"> sustav</w:t>
      </w:r>
      <w:r>
        <w:t>im</w:t>
      </w:r>
      <w:r w:rsidRPr="0043282A">
        <w:t>a</w:t>
      </w:r>
      <w:r>
        <w:t xml:space="preserve"> u skladu </w:t>
      </w:r>
      <w:r w:rsidRPr="00512A4F">
        <w:t xml:space="preserve">sa zahtjevima interoperabilnosti. </w:t>
      </w:r>
      <w:r>
        <w:t>S obzirom na uvođenje modernih (pogonskih) tehnologija</w:t>
      </w:r>
      <w:r w:rsidRPr="00512A4F">
        <w:t xml:space="preserve">, </w:t>
      </w:r>
      <w:r>
        <w:lastRenderedPageBreak/>
        <w:t xml:space="preserve">potrebno je provesti i </w:t>
      </w:r>
      <w:r w:rsidRPr="00512A4F">
        <w:t>moderniz</w:t>
      </w:r>
      <w:r>
        <w:t>aciju</w:t>
      </w:r>
      <w:r w:rsidRPr="00512A4F">
        <w:t xml:space="preserve"> </w:t>
      </w:r>
      <w:r>
        <w:t>uslužnih</w:t>
      </w:r>
      <w:r w:rsidRPr="00512A4F">
        <w:t xml:space="preserve"> objek</w:t>
      </w:r>
      <w:r>
        <w:t>a</w:t>
      </w:r>
      <w:r w:rsidRPr="00512A4F">
        <w:t>t</w:t>
      </w:r>
      <w:r>
        <w:t xml:space="preserve">a kao </w:t>
      </w:r>
      <w:r w:rsidRPr="00512A4F">
        <w:t xml:space="preserve">i </w:t>
      </w:r>
      <w:r>
        <w:t>tehnologije te opreme</w:t>
      </w:r>
      <w:r w:rsidRPr="00512A4F">
        <w:t xml:space="preserve"> za održavanje </w:t>
      </w:r>
      <w:r>
        <w:t xml:space="preserve">cjelokupnog </w:t>
      </w:r>
      <w:r w:rsidRPr="00512A4F">
        <w:t>voznog parka.</w:t>
      </w:r>
    </w:p>
    <w:p w14:paraId="634A9B89" w14:textId="77777777" w:rsidR="00FA52AB" w:rsidRPr="006B20B7" w:rsidRDefault="00FA52AB" w:rsidP="00001FEA">
      <w:pPr>
        <w:jc w:val="left"/>
        <w:rPr>
          <w:b/>
          <w:bCs/>
        </w:rPr>
      </w:pPr>
      <w:r w:rsidRPr="006B20B7">
        <w:rPr>
          <w:b/>
          <w:bCs/>
        </w:rPr>
        <w:t xml:space="preserve">Prioritet </w:t>
      </w:r>
      <w:r w:rsidR="00D5657C">
        <w:rPr>
          <w:b/>
          <w:bCs/>
        </w:rPr>
        <w:t>4</w:t>
      </w:r>
      <w:r w:rsidRPr="006B20B7">
        <w:rPr>
          <w:b/>
          <w:bCs/>
        </w:rPr>
        <w:t>.</w:t>
      </w:r>
      <w:r w:rsidR="00862DB2">
        <w:rPr>
          <w:b/>
          <w:bCs/>
        </w:rPr>
        <w:t>1</w:t>
      </w:r>
      <w:r w:rsidRPr="006B20B7">
        <w:rPr>
          <w:b/>
          <w:bCs/>
        </w:rPr>
        <w:t>.</w:t>
      </w:r>
      <w:r w:rsidR="00113A8E">
        <w:rPr>
          <w:b/>
          <w:bCs/>
        </w:rPr>
        <w:t xml:space="preserve"> </w:t>
      </w:r>
      <w:r w:rsidR="00113A8E" w:rsidRPr="00113A8E">
        <w:rPr>
          <w:b/>
          <w:bCs/>
        </w:rPr>
        <w:t>Unaprjeđenje usluga integriran</w:t>
      </w:r>
      <w:r w:rsidR="00113A8E">
        <w:rPr>
          <w:b/>
          <w:bCs/>
        </w:rPr>
        <w:t>og</w:t>
      </w:r>
      <w:r w:rsidR="00113A8E" w:rsidRPr="00113A8E">
        <w:rPr>
          <w:b/>
          <w:bCs/>
        </w:rPr>
        <w:t xml:space="preserve"> urban</w:t>
      </w:r>
      <w:r w:rsidR="00113A8E">
        <w:rPr>
          <w:b/>
          <w:bCs/>
        </w:rPr>
        <w:t xml:space="preserve">og </w:t>
      </w:r>
      <w:r w:rsidR="00113A8E" w:rsidRPr="00113A8E">
        <w:rPr>
          <w:b/>
          <w:bCs/>
        </w:rPr>
        <w:t>prijevoz</w:t>
      </w:r>
      <w:r w:rsidR="00113A8E">
        <w:rPr>
          <w:b/>
          <w:bCs/>
        </w:rPr>
        <w:t>a</w:t>
      </w:r>
      <w:r w:rsidR="00113A8E" w:rsidRPr="00113A8E">
        <w:rPr>
          <w:b/>
          <w:bCs/>
        </w:rPr>
        <w:t xml:space="preserve"> i intermodalnog prijevoza</w:t>
      </w:r>
    </w:p>
    <w:p w14:paraId="403DB39B" w14:textId="77777777" w:rsidR="00A26577" w:rsidRDefault="00512A4F" w:rsidP="00001FEA">
      <w:r>
        <w:t>U sklopu ovog prioritet</w:t>
      </w:r>
      <w:r w:rsidR="008731E5">
        <w:t>a</w:t>
      </w:r>
      <w:r>
        <w:t xml:space="preserve"> </w:t>
      </w:r>
      <w:r w:rsidR="00DB7BB6">
        <w:t>za provedbu Nacionalnog plana</w:t>
      </w:r>
      <w:r>
        <w:t xml:space="preserve"> planira se poboljšanje</w:t>
      </w:r>
      <w:r w:rsidRPr="00512A4F">
        <w:t xml:space="preserve"> kvalitete usluge u putničkom </w:t>
      </w:r>
      <w:r w:rsidRPr="005C4AE5">
        <w:t xml:space="preserve">i teretnom prijevozu </w:t>
      </w:r>
      <w:r w:rsidR="00DB7BB6" w:rsidRPr="005C4AE5">
        <w:t>optimizacij</w:t>
      </w:r>
      <w:r w:rsidR="00121F1E">
        <w:t>om</w:t>
      </w:r>
      <w:r w:rsidR="00DB7BB6">
        <w:t xml:space="preserve"> i racionalizacij</w:t>
      </w:r>
      <w:r w:rsidR="00121F1E">
        <w:t>om</w:t>
      </w:r>
      <w:r w:rsidR="00DB7BB6">
        <w:t xml:space="preserve"> korištenja željezničke mreže, uz rješavanje uskih grla u prijevozu, uvođenj</w:t>
      </w:r>
      <w:r w:rsidR="00121F1E">
        <w:t>em</w:t>
      </w:r>
      <w:r w:rsidR="00DB7BB6">
        <w:t xml:space="preserve"> novih i prilagodb</w:t>
      </w:r>
      <w:r w:rsidR="00121F1E">
        <w:t>om</w:t>
      </w:r>
      <w:r w:rsidR="00DB7BB6">
        <w:t xml:space="preserve"> postojećih usluga </w:t>
      </w:r>
      <w:r w:rsidR="00121F1E">
        <w:t xml:space="preserve">prema </w:t>
      </w:r>
      <w:r w:rsidR="00DB7BB6">
        <w:t>zahtjevima korisnika te u</w:t>
      </w:r>
      <w:r>
        <w:t>vođenj</w:t>
      </w:r>
      <w:r w:rsidR="00121F1E">
        <w:t>em</w:t>
      </w:r>
      <w:r>
        <w:t xml:space="preserve"> </w:t>
      </w:r>
      <w:r w:rsidRPr="00512A4F">
        <w:t>informacijsko</w:t>
      </w:r>
      <w:r w:rsidR="00121F1E">
        <w:t>-</w:t>
      </w:r>
      <w:r w:rsidRPr="00512A4F">
        <w:t>komunikacijskih sustava i digitaliziranih usluga</w:t>
      </w:r>
      <w:r>
        <w:t xml:space="preserve"> </w:t>
      </w:r>
      <w:r w:rsidR="00121F1E">
        <w:t xml:space="preserve">za </w:t>
      </w:r>
      <w:r>
        <w:t>krajnj</w:t>
      </w:r>
      <w:r w:rsidR="00121F1E">
        <w:t>e</w:t>
      </w:r>
      <w:r>
        <w:t xml:space="preserve"> korisni</w:t>
      </w:r>
      <w:r w:rsidR="00121F1E">
        <w:t>ke</w:t>
      </w:r>
      <w:r>
        <w:t xml:space="preserve">. </w:t>
      </w:r>
      <w:r w:rsidR="008731E5">
        <w:t>P</w:t>
      </w:r>
      <w:r w:rsidR="0043282A" w:rsidRPr="005727D4">
        <w:t>ot</w:t>
      </w:r>
      <w:r w:rsidR="008731E5">
        <w:t>icat će se</w:t>
      </w:r>
      <w:r w:rsidR="0043282A" w:rsidRPr="005727D4">
        <w:t xml:space="preserve"> korištenje </w:t>
      </w:r>
      <w:r w:rsidR="005027F3" w:rsidRPr="005727D4">
        <w:t xml:space="preserve">integriranog </w:t>
      </w:r>
      <w:r w:rsidR="00113A8E" w:rsidRPr="00113A8E">
        <w:t>urbanog prijevoza</w:t>
      </w:r>
      <w:r w:rsidR="005027F3" w:rsidRPr="005727D4">
        <w:t xml:space="preserve"> u hrvatskim gradovima </w:t>
      </w:r>
      <w:r w:rsidR="005727D4" w:rsidRPr="005727D4">
        <w:t>integracij</w:t>
      </w:r>
      <w:r w:rsidR="00E72006">
        <w:t>om s drugim vidovima prometa te</w:t>
      </w:r>
      <w:r w:rsidR="005727D4" w:rsidRPr="005727D4">
        <w:t xml:space="preserve"> </w:t>
      </w:r>
      <w:r w:rsidR="00E72006">
        <w:t>uspostavom cjelovitog</w:t>
      </w:r>
      <w:r w:rsidR="005027F3" w:rsidRPr="005727D4">
        <w:t xml:space="preserve"> sustava </w:t>
      </w:r>
      <w:r w:rsidR="00E72006">
        <w:t>integriranog prijevoza uz u</w:t>
      </w:r>
      <w:r w:rsidR="005727D4" w:rsidRPr="005727D4">
        <w:t>vođenje</w:t>
      </w:r>
      <w:r w:rsidR="005027F3" w:rsidRPr="005727D4">
        <w:t xml:space="preserve"> inteligentnih transportnih sustava</w:t>
      </w:r>
      <w:r w:rsidR="005727D4" w:rsidRPr="005727D4">
        <w:t>.</w:t>
      </w:r>
      <w:r w:rsidR="005727D4">
        <w:t xml:space="preserve"> </w:t>
      </w:r>
      <w:r w:rsidR="00782DC4">
        <w:t>Usvojit će se</w:t>
      </w:r>
      <w:r w:rsidR="00782DC4" w:rsidRPr="00782DC4">
        <w:t xml:space="preserve"> zakonodavni okvir koji</w:t>
      </w:r>
      <w:r w:rsidR="00E72006">
        <w:t>m</w:t>
      </w:r>
      <w:r w:rsidR="00782DC4" w:rsidRPr="00782DC4">
        <w:t xml:space="preserve"> </w:t>
      </w:r>
      <w:r w:rsidR="00782DC4">
        <w:t>će</w:t>
      </w:r>
      <w:r w:rsidR="00782DC4" w:rsidRPr="00782DC4">
        <w:t xml:space="preserve"> </w:t>
      </w:r>
      <w:r w:rsidR="00E72006">
        <w:t xml:space="preserve">se </w:t>
      </w:r>
      <w:r w:rsidR="00782DC4" w:rsidRPr="00782DC4">
        <w:t>osigura</w:t>
      </w:r>
      <w:r w:rsidR="00782DC4">
        <w:t>ti</w:t>
      </w:r>
      <w:r w:rsidR="00782DC4" w:rsidRPr="00782DC4">
        <w:t xml:space="preserve"> </w:t>
      </w:r>
      <w:r w:rsidR="00E72006">
        <w:t xml:space="preserve">daljnji </w:t>
      </w:r>
      <w:r w:rsidR="00782DC4" w:rsidRPr="00782DC4">
        <w:t>razvoj integriranog prijevoza putnika u R</w:t>
      </w:r>
      <w:r w:rsidR="00E72006">
        <w:t xml:space="preserve">epublici </w:t>
      </w:r>
      <w:r w:rsidR="00782DC4" w:rsidRPr="00782DC4">
        <w:t>H</w:t>
      </w:r>
      <w:r w:rsidR="00E72006">
        <w:t>rvatskoj</w:t>
      </w:r>
      <w:r w:rsidR="00782DC4" w:rsidRPr="00782DC4">
        <w:t>.</w:t>
      </w:r>
      <w:r w:rsidR="00E72006">
        <w:t xml:space="preserve"> P</w:t>
      </w:r>
      <w:r w:rsidR="002B11FE" w:rsidRPr="008F3DC2">
        <w:t>ot</w:t>
      </w:r>
      <w:r w:rsidR="00E72006">
        <w:t xml:space="preserve">icat će se veće </w:t>
      </w:r>
      <w:r w:rsidR="002B11FE" w:rsidRPr="008F3DC2">
        <w:t xml:space="preserve">korištenje intermodalnog prijevoza tereta </w:t>
      </w:r>
      <w:r w:rsidR="00E72006">
        <w:t xml:space="preserve">željeznicom </w:t>
      </w:r>
      <w:r w:rsidR="002B11FE" w:rsidRPr="008F3DC2">
        <w:t xml:space="preserve">čime </w:t>
      </w:r>
      <w:r w:rsidR="00E72006">
        <w:t xml:space="preserve">će </w:t>
      </w:r>
      <w:r w:rsidR="002B11FE" w:rsidRPr="008F3DC2">
        <w:t xml:space="preserve">se </w:t>
      </w:r>
      <w:r w:rsidR="00E72006">
        <w:t xml:space="preserve">poboljšati </w:t>
      </w:r>
      <w:r w:rsidR="002B11FE" w:rsidRPr="008F3DC2">
        <w:t xml:space="preserve">učinkovitost </w:t>
      </w:r>
      <w:r w:rsidR="00E72006">
        <w:t xml:space="preserve">željezničkog </w:t>
      </w:r>
      <w:r w:rsidR="002B11FE" w:rsidRPr="008F3DC2">
        <w:t>sustava</w:t>
      </w:r>
      <w:r w:rsidR="008F3DC2" w:rsidRPr="008F3DC2">
        <w:t xml:space="preserve"> u cjelini</w:t>
      </w:r>
      <w:r w:rsidR="00E72006">
        <w:t xml:space="preserve">. </w:t>
      </w:r>
      <w:r w:rsidR="008F3DC2" w:rsidRPr="008F3DC2">
        <w:t xml:space="preserve">Po utvrđivanju logističkog koncepta intermodalnog prijevoza željeznicom </w:t>
      </w:r>
      <w:r w:rsidR="00E72006">
        <w:t>započet će</w:t>
      </w:r>
      <w:r w:rsidR="008F3DC2" w:rsidRPr="008F3DC2">
        <w:t xml:space="preserve"> priprema i izgradnja intermodalnih terminala</w:t>
      </w:r>
      <w:r w:rsidR="001B15DB">
        <w:t xml:space="preserve">, prvenstveno </w:t>
      </w:r>
      <w:r w:rsidR="00E72006">
        <w:t>na području Kontinentalne Hrvatske</w:t>
      </w:r>
      <w:r w:rsidR="008F3DC2" w:rsidRPr="008F3DC2">
        <w:t>.</w:t>
      </w:r>
      <w:r w:rsidR="008F3DC2">
        <w:t xml:space="preserve"> </w:t>
      </w:r>
    </w:p>
    <w:p w14:paraId="1A201D2C" w14:textId="77777777" w:rsidR="006D3EF9" w:rsidRDefault="006D3EF9" w:rsidP="00001FEA"/>
    <w:p w14:paraId="5D0BEEFC" w14:textId="77777777" w:rsidR="00A26577" w:rsidRDefault="00A26577">
      <w:pPr>
        <w:spacing w:line="240" w:lineRule="auto"/>
        <w:jc w:val="left"/>
      </w:pPr>
      <w:r>
        <w:br w:type="page"/>
      </w:r>
    </w:p>
    <w:p w14:paraId="2DDC16C2" w14:textId="77777777" w:rsidR="00817609" w:rsidRDefault="00817609" w:rsidP="00001FEA">
      <w:pPr>
        <w:pStyle w:val="Naslov1"/>
        <w:tabs>
          <w:tab w:val="clear" w:pos="4384"/>
          <w:tab w:val="num" w:pos="0"/>
        </w:tabs>
        <w:ind w:left="0" w:firstLine="0"/>
      </w:pPr>
      <w:bookmarkStart w:id="57" w:name="_Ref115871999"/>
      <w:bookmarkStart w:id="58" w:name="_Toc122335626"/>
      <w:r>
        <w:lastRenderedPageBreak/>
        <w:t>Posebni ciljevi</w:t>
      </w:r>
      <w:r w:rsidR="00FC533C">
        <w:t xml:space="preserve"> i ključni pokazatelji ishoda</w:t>
      </w:r>
      <w:bookmarkEnd w:id="57"/>
      <w:bookmarkEnd w:id="58"/>
    </w:p>
    <w:p w14:paraId="6F61E8D0" w14:textId="77777777" w:rsidR="00057072" w:rsidRPr="00EB7948" w:rsidRDefault="00057072" w:rsidP="00001FEA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lang w:eastAsia="en-US"/>
        </w:rPr>
      </w:pPr>
    </w:p>
    <w:p w14:paraId="1A2D79B0" w14:textId="77777777" w:rsidR="00E702EE" w:rsidRPr="00044742" w:rsidRDefault="00E702EE" w:rsidP="00001FEA">
      <w:pPr>
        <w:pStyle w:val="Naslov2"/>
        <w:ind w:left="0" w:firstLine="0"/>
      </w:pPr>
      <w:bookmarkStart w:id="59" w:name="_Toc122335627"/>
      <w:r>
        <w:t>Posebni ciljevi</w:t>
      </w:r>
      <w:bookmarkEnd w:id="59"/>
      <w:r>
        <w:t xml:space="preserve"> </w:t>
      </w:r>
    </w:p>
    <w:p w14:paraId="5DA20DCE" w14:textId="77777777" w:rsidR="00C01548" w:rsidRDefault="00BD48D4" w:rsidP="00C01548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lang w:eastAsia="en-US"/>
        </w:rPr>
      </w:pPr>
      <w:r>
        <w:rPr>
          <w:rFonts w:eastAsiaTheme="minorHAnsi" w:cs="Arial"/>
          <w:b/>
          <w:bCs/>
          <w:color w:val="000000"/>
          <w:lang w:eastAsia="en-US"/>
        </w:rPr>
        <w:t>Za postizanje</w:t>
      </w:r>
      <w:r w:rsidRPr="00EB7948">
        <w:rPr>
          <w:rFonts w:eastAsiaTheme="minorHAnsi" w:cs="Arial"/>
          <w:b/>
          <w:bCs/>
          <w:color w:val="000000"/>
          <w:lang w:eastAsia="en-US"/>
        </w:rPr>
        <w:t xml:space="preserve"> srednjoročn</w:t>
      </w:r>
      <w:r>
        <w:rPr>
          <w:rFonts w:eastAsiaTheme="minorHAnsi" w:cs="Arial"/>
          <w:b/>
          <w:bCs/>
          <w:color w:val="000000"/>
          <w:lang w:eastAsia="en-US"/>
        </w:rPr>
        <w:t>e</w:t>
      </w:r>
      <w:r w:rsidRPr="00EB7948">
        <w:rPr>
          <w:rFonts w:eastAsiaTheme="minorHAnsi" w:cs="Arial"/>
          <w:b/>
          <w:bCs/>
          <w:color w:val="000000"/>
          <w:lang w:eastAsia="en-US"/>
        </w:rPr>
        <w:t xml:space="preserve"> vizij</w:t>
      </w:r>
      <w:r>
        <w:rPr>
          <w:rFonts w:eastAsiaTheme="minorHAnsi" w:cs="Arial"/>
          <w:b/>
          <w:bCs/>
          <w:color w:val="000000"/>
          <w:lang w:eastAsia="en-US"/>
        </w:rPr>
        <w:t>e</w:t>
      </w:r>
      <w:r w:rsidRPr="00EB7948">
        <w:rPr>
          <w:rFonts w:eastAsiaTheme="minorHAnsi" w:cs="Arial"/>
          <w:b/>
          <w:bCs/>
          <w:color w:val="000000"/>
          <w:lang w:eastAsia="en-US"/>
        </w:rPr>
        <w:t xml:space="preserve"> razvoja upravljanja željezničkom infrastrukturom i uslužnim objektima i razvoja usluga željezničkog prijevoza </w:t>
      </w:r>
      <w:r>
        <w:rPr>
          <w:rFonts w:eastAsiaTheme="minorHAnsi" w:cs="Arial"/>
          <w:b/>
          <w:bCs/>
          <w:color w:val="000000"/>
          <w:lang w:eastAsia="en-US"/>
        </w:rPr>
        <w:t>utvrđen</w:t>
      </w:r>
      <w:r w:rsidR="00C01548">
        <w:rPr>
          <w:rFonts w:eastAsiaTheme="minorHAnsi" w:cs="Arial"/>
          <w:b/>
          <w:bCs/>
          <w:color w:val="000000"/>
          <w:lang w:eastAsia="en-US"/>
        </w:rPr>
        <w:t xml:space="preserve">a su </w:t>
      </w:r>
      <w:r w:rsidR="00461C09">
        <w:rPr>
          <w:rFonts w:eastAsiaTheme="minorHAnsi" w:cs="Arial"/>
          <w:b/>
          <w:bCs/>
          <w:color w:val="000000"/>
          <w:lang w:eastAsia="en-US"/>
        </w:rPr>
        <w:t>dva</w:t>
      </w:r>
      <w:r w:rsidR="00C01548">
        <w:rPr>
          <w:rFonts w:eastAsiaTheme="minorHAnsi" w:cs="Arial"/>
          <w:b/>
          <w:bCs/>
          <w:color w:val="000000"/>
          <w:lang w:eastAsia="en-US"/>
        </w:rPr>
        <w:t xml:space="preserve"> </w:t>
      </w:r>
      <w:r w:rsidRPr="00EB7948">
        <w:rPr>
          <w:rFonts w:eastAsiaTheme="minorHAnsi" w:cs="Arial"/>
          <w:b/>
          <w:bCs/>
          <w:color w:val="000000"/>
          <w:lang w:eastAsia="en-US"/>
        </w:rPr>
        <w:t>(</w:t>
      </w:r>
      <w:r w:rsidR="00461C09">
        <w:rPr>
          <w:rFonts w:eastAsiaTheme="minorHAnsi" w:cs="Arial"/>
          <w:b/>
          <w:bCs/>
          <w:color w:val="000000"/>
          <w:lang w:eastAsia="en-US"/>
        </w:rPr>
        <w:t>2</w:t>
      </w:r>
      <w:r w:rsidRPr="00EB7948">
        <w:rPr>
          <w:rFonts w:eastAsiaTheme="minorHAnsi" w:cs="Arial"/>
          <w:b/>
          <w:bCs/>
          <w:color w:val="000000"/>
          <w:lang w:eastAsia="en-US"/>
        </w:rPr>
        <w:t>) posebn</w:t>
      </w:r>
      <w:r w:rsidR="00C01548">
        <w:rPr>
          <w:rFonts w:eastAsiaTheme="minorHAnsi" w:cs="Arial"/>
          <w:b/>
          <w:bCs/>
          <w:color w:val="000000"/>
          <w:lang w:eastAsia="en-US"/>
        </w:rPr>
        <w:t>a</w:t>
      </w:r>
      <w:r w:rsidRPr="00EB7948">
        <w:rPr>
          <w:rFonts w:eastAsiaTheme="minorHAnsi" w:cs="Arial"/>
          <w:b/>
          <w:bCs/>
          <w:color w:val="000000"/>
          <w:lang w:eastAsia="en-US"/>
        </w:rPr>
        <w:t xml:space="preserve"> cilja</w:t>
      </w:r>
      <w:r w:rsidR="00C01548">
        <w:rPr>
          <w:rFonts w:eastAsiaTheme="minorHAnsi" w:cs="Arial"/>
          <w:b/>
          <w:bCs/>
          <w:color w:val="000000"/>
          <w:lang w:eastAsia="en-US"/>
        </w:rPr>
        <w:t>.</w:t>
      </w:r>
    </w:p>
    <w:p w14:paraId="2CF892DF" w14:textId="77777777" w:rsidR="00C01548" w:rsidRPr="00A65EE6" w:rsidRDefault="00C01548" w:rsidP="00C01548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lang w:eastAsia="en-US"/>
        </w:rPr>
      </w:pPr>
    </w:p>
    <w:p w14:paraId="5727323A" w14:textId="15CA2B3B" w:rsidR="00BD48D4" w:rsidRDefault="0090434C" w:rsidP="00C01548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lang w:eastAsia="en-US"/>
        </w:rPr>
      </w:pPr>
      <w:r w:rsidRPr="0090434C">
        <w:rPr>
          <w:rFonts w:eastAsiaTheme="minorHAnsi" w:cs="Arial"/>
          <w:color w:val="000000"/>
          <w:lang w:eastAsia="en-US"/>
        </w:rPr>
        <w:t>U skladu s intervencijskom logikom propisanom zakonodavnim okvirom sustava strateškog planiranja i upravljanja razvojem</w:t>
      </w:r>
      <w:r>
        <w:rPr>
          <w:rFonts w:eastAsiaTheme="minorHAnsi" w:cs="Arial"/>
          <w:color w:val="000000"/>
          <w:lang w:eastAsia="en-US"/>
        </w:rPr>
        <w:t>,</w:t>
      </w:r>
      <w:r w:rsidRPr="0090434C">
        <w:rPr>
          <w:rFonts w:eastAsiaTheme="minorHAnsi" w:cs="Arial"/>
          <w:color w:val="000000"/>
          <w:lang w:eastAsia="en-US"/>
        </w:rPr>
        <w:t xml:space="preserve"> </w:t>
      </w:r>
      <w:bookmarkStart w:id="60" w:name="_Hlk115002207"/>
      <w:r>
        <w:rPr>
          <w:rFonts w:eastAsiaTheme="minorHAnsi" w:cs="Arial"/>
          <w:color w:val="000000"/>
          <w:lang w:eastAsia="en-US"/>
        </w:rPr>
        <w:t>p</w:t>
      </w:r>
      <w:r w:rsidR="00BD48D4" w:rsidRPr="00EB7948">
        <w:rPr>
          <w:rFonts w:eastAsiaTheme="minorHAnsi" w:cs="Arial"/>
          <w:color w:val="000000"/>
          <w:lang w:eastAsia="en-US"/>
        </w:rPr>
        <w:t xml:space="preserve">osebni su ciljevi usklađeni sa srednjoročnim </w:t>
      </w:r>
      <w:r w:rsidR="00BD48D4">
        <w:rPr>
          <w:rFonts w:eastAsiaTheme="minorHAnsi" w:cs="Arial"/>
          <w:color w:val="000000"/>
          <w:lang w:eastAsia="en-US"/>
        </w:rPr>
        <w:t xml:space="preserve">razvojnim potrebama i pripadajućim </w:t>
      </w:r>
      <w:r w:rsidR="00BD48D4" w:rsidRPr="00EB7948">
        <w:rPr>
          <w:rFonts w:eastAsiaTheme="minorHAnsi" w:cs="Arial"/>
          <w:color w:val="000000"/>
          <w:lang w:eastAsia="en-US"/>
        </w:rPr>
        <w:t>prioritetima politike</w:t>
      </w:r>
      <w:r w:rsidR="00C01548">
        <w:rPr>
          <w:rFonts w:eastAsiaTheme="minorHAnsi" w:cs="Arial"/>
          <w:color w:val="000000"/>
          <w:lang w:eastAsia="en-US"/>
        </w:rPr>
        <w:t>,</w:t>
      </w:r>
      <w:r w:rsidR="00BD48D4" w:rsidRPr="00EB7948">
        <w:rPr>
          <w:rFonts w:eastAsiaTheme="minorHAnsi" w:cs="Arial"/>
          <w:color w:val="000000"/>
          <w:lang w:eastAsia="en-US"/>
        </w:rPr>
        <w:t xml:space="preserve"> </w:t>
      </w:r>
      <w:r w:rsidR="00BD48D4">
        <w:rPr>
          <w:rFonts w:eastAsiaTheme="minorHAnsi" w:cs="Arial"/>
          <w:color w:val="000000"/>
          <w:lang w:eastAsia="en-US"/>
        </w:rPr>
        <w:t xml:space="preserve">a doprinijet će postizanju strateških ciljeva Strategije razvoja željezničkog sustava </w:t>
      </w:r>
      <w:r w:rsidR="00A65EE6">
        <w:rPr>
          <w:rFonts w:eastAsiaTheme="minorHAnsi" w:cs="Arial"/>
          <w:color w:val="000000"/>
          <w:lang w:eastAsia="en-US"/>
        </w:rPr>
        <w:t>do</w:t>
      </w:r>
      <w:r w:rsidR="00331085">
        <w:rPr>
          <w:rFonts w:eastAsiaTheme="minorHAnsi" w:cs="Arial"/>
          <w:color w:val="000000"/>
          <w:lang w:eastAsia="en-US"/>
        </w:rPr>
        <w:t xml:space="preserve"> </w:t>
      </w:r>
      <w:r w:rsidR="00BD48D4">
        <w:rPr>
          <w:rFonts w:eastAsiaTheme="minorHAnsi" w:cs="Arial"/>
          <w:color w:val="000000"/>
          <w:lang w:eastAsia="en-US"/>
        </w:rPr>
        <w:t xml:space="preserve">2032. </w:t>
      </w:r>
      <w:r w:rsidR="00A65EE6">
        <w:rPr>
          <w:rFonts w:eastAsiaTheme="minorHAnsi" w:cs="Arial"/>
          <w:color w:val="000000"/>
          <w:lang w:eastAsia="en-US"/>
        </w:rPr>
        <w:t xml:space="preserve">godine </w:t>
      </w:r>
      <w:r w:rsidR="00BD48D4">
        <w:rPr>
          <w:rFonts w:eastAsiaTheme="minorHAnsi" w:cs="Arial"/>
          <w:color w:val="000000"/>
          <w:lang w:eastAsia="en-US"/>
        </w:rPr>
        <w:t>i</w:t>
      </w:r>
      <w:r w:rsidR="00FE60F9">
        <w:rPr>
          <w:rFonts w:eastAsiaTheme="minorHAnsi" w:cs="Arial"/>
          <w:color w:val="000000"/>
          <w:lang w:eastAsia="en-US"/>
        </w:rPr>
        <w:t xml:space="preserve"> postizanju</w:t>
      </w:r>
      <w:r w:rsidR="00BD48D4">
        <w:rPr>
          <w:rFonts w:eastAsiaTheme="minorHAnsi" w:cs="Arial"/>
          <w:color w:val="000000"/>
          <w:lang w:eastAsia="en-US"/>
        </w:rPr>
        <w:t xml:space="preserve"> relevantnih ciljeva N</w:t>
      </w:r>
      <w:r w:rsidR="00FE60F9">
        <w:rPr>
          <w:rFonts w:eastAsiaTheme="minorHAnsi" w:cs="Arial"/>
          <w:color w:val="000000"/>
          <w:lang w:eastAsia="en-US"/>
        </w:rPr>
        <w:t>acionalne razvojne strategije</w:t>
      </w:r>
      <w:bookmarkEnd w:id="60"/>
      <w:r w:rsidR="00BD48D4">
        <w:rPr>
          <w:rFonts w:eastAsiaTheme="minorHAnsi" w:cs="Arial"/>
          <w:color w:val="000000"/>
          <w:lang w:eastAsia="en-US"/>
        </w:rPr>
        <w:t xml:space="preserve">. </w:t>
      </w:r>
    </w:p>
    <w:p w14:paraId="15BEC446" w14:textId="77777777" w:rsidR="00BD48D4" w:rsidRPr="00EB7948" w:rsidRDefault="00BD48D4" w:rsidP="00001FEA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lang w:eastAsia="en-US"/>
        </w:rPr>
      </w:pPr>
    </w:p>
    <w:p w14:paraId="527C65CE" w14:textId="4A20667C" w:rsidR="00C01548" w:rsidRDefault="006C7354" w:rsidP="00001FEA">
      <w:bookmarkStart w:id="61" w:name="_Toc107499560"/>
      <w:r w:rsidRPr="0032545A">
        <w:rPr>
          <w:rFonts w:cs="Arial"/>
          <w:b/>
          <w:bCs/>
        </w:rPr>
        <w:t>Posebni cilj 1.</w:t>
      </w:r>
      <w:r w:rsidRPr="000B0DA0">
        <w:t xml:space="preserve"> </w:t>
      </w:r>
      <w:r w:rsidR="00C01548" w:rsidRPr="00C01548">
        <w:rPr>
          <w:b/>
          <w:bCs/>
        </w:rPr>
        <w:t>Poboljšanje ekonomske i financijske održivosti upravljanja željezničkim sustavom</w:t>
      </w:r>
      <w:r w:rsidR="00C01548">
        <w:t xml:space="preserve"> </w:t>
      </w:r>
    </w:p>
    <w:p w14:paraId="095A6868" w14:textId="77777777" w:rsidR="00ED0090" w:rsidRPr="00ED0090" w:rsidRDefault="00ED0090" w:rsidP="00ED0090">
      <w:r w:rsidRPr="00ED0090">
        <w:t xml:space="preserve">Da bi </w:t>
      </w:r>
      <w:r w:rsidR="00121F1E">
        <w:t xml:space="preserve">se </w:t>
      </w:r>
      <w:r w:rsidRPr="00ED0090">
        <w:t>ostvario ovaj posebni cilj, provest</w:t>
      </w:r>
      <w:r w:rsidR="00DE773E">
        <w:t xml:space="preserve"> </w:t>
      </w:r>
      <w:r w:rsidRPr="00ED0090">
        <w:t>će se optimizacija i racionalizacija ustroja javnih željezničkih društava u skladu s</w:t>
      </w:r>
      <w:r w:rsidR="00DE773E">
        <w:t xml:space="preserve"> </w:t>
      </w:r>
      <w:r w:rsidRPr="00ED0090">
        <w:t xml:space="preserve">usvojenim smjernicama korporativnog upravljanja Organizacije za ekonomsku suradnju i razvoj (OECD) i poboljšati učinkovitost u poslovanju. Poboljšanje financijske održivosti željezničkog sustava podrazumijeva smanjenje ovisnosti </w:t>
      </w:r>
      <w:r w:rsidR="003971FD">
        <w:t xml:space="preserve">javnih </w:t>
      </w:r>
      <w:r w:rsidRPr="00ED0090">
        <w:t>željezničkih društava o subvencioniranju iz javnih prihoda</w:t>
      </w:r>
      <w:r w:rsidR="00DE773E">
        <w:t xml:space="preserve"> izmjenom </w:t>
      </w:r>
      <w:r w:rsidR="00DE773E" w:rsidRPr="00DE773E">
        <w:t>Ugovor</w:t>
      </w:r>
      <w:r w:rsidR="00DE773E">
        <w:t>a</w:t>
      </w:r>
      <w:r w:rsidR="00DE773E" w:rsidRPr="00DE773E">
        <w:t xml:space="preserve"> o javnim uslugama za usluge od općeg gospodarskog interesa u javnom željezničkom prijevozu u Republici Hrvatskoj</w:t>
      </w:r>
      <w:r w:rsidR="00121F1E">
        <w:t>.</w:t>
      </w:r>
      <w:r w:rsidRPr="00ED0090">
        <w:t xml:space="preserve"> </w:t>
      </w:r>
      <w:r w:rsidR="00DE773E">
        <w:t xml:space="preserve">Financijska održivost također </w:t>
      </w:r>
      <w:r w:rsidR="00121F1E">
        <w:t xml:space="preserve">će </w:t>
      </w:r>
      <w:r w:rsidR="00DE773E">
        <w:t xml:space="preserve">biti rezultat </w:t>
      </w:r>
      <w:r w:rsidRPr="00ED0090">
        <w:t>povećanj</w:t>
      </w:r>
      <w:r w:rsidR="00DE773E">
        <w:t>a</w:t>
      </w:r>
      <w:r w:rsidRPr="00ED0090">
        <w:t xml:space="preserve"> prihoda ostvarenih redovnim poslovanjem i racionalizacij</w:t>
      </w:r>
      <w:r w:rsidR="00DE773E">
        <w:t>e</w:t>
      </w:r>
      <w:r w:rsidRPr="00ED0090">
        <w:t xml:space="preserve"> troškova poslovanja. Poboljšanje financijske i operativne učinkovitosti javnih željezničkih društava postići će se jačanjem njihove međusobne suradnje te aktivacijom i učinkovitijim upravljanjem vlastitom imovinom. </w:t>
      </w:r>
    </w:p>
    <w:p w14:paraId="6C6405B7" w14:textId="77777777" w:rsidR="00331085" w:rsidRDefault="00331085" w:rsidP="00331085">
      <w:pPr>
        <w:rPr>
          <w:rFonts w:cs="Arial"/>
        </w:rPr>
      </w:pPr>
      <w:r w:rsidRPr="00ED0090">
        <w:t xml:space="preserve">Kako bi se potaknulo veće korištenje željezničkog prometa, nastavit će se provedba politike niskih naknada radi smanjenja cijena pojedinih trasa vlakova i postupnog prelaska s cestovnog na željeznički putnički i teretni prijevoz. </w:t>
      </w:r>
      <w:r w:rsidR="00AB2BD8">
        <w:t>N</w:t>
      </w:r>
      <w:r>
        <w:t>astavit</w:t>
      </w:r>
      <w:r w:rsidR="00437695">
        <w:t xml:space="preserve"> </w:t>
      </w:r>
      <w:r>
        <w:t xml:space="preserve">će se </w:t>
      </w:r>
      <w:r w:rsidRPr="00ED0090">
        <w:t>rad na unaprjeđenju ugovornih odnosa s HŽPP</w:t>
      </w:r>
      <w:r w:rsidR="00121F1E">
        <w:t>-om</w:t>
      </w:r>
      <w:r w:rsidRPr="00ED0090">
        <w:t xml:space="preserve"> i potencijalnim drugim pružateljima usluga željezničkog </w:t>
      </w:r>
      <w:r>
        <w:t xml:space="preserve">putničkog </w:t>
      </w:r>
      <w:r w:rsidRPr="00ED0090">
        <w:t xml:space="preserve">prijevoza radi </w:t>
      </w:r>
      <w:r>
        <w:t>pružanja</w:t>
      </w:r>
      <w:r w:rsidRPr="00ED0090">
        <w:t xml:space="preserve"> </w:t>
      </w:r>
      <w:r>
        <w:t xml:space="preserve">veće </w:t>
      </w:r>
      <w:r w:rsidRPr="00ED0090">
        <w:t>kvalitet</w:t>
      </w:r>
      <w:r>
        <w:t>e</w:t>
      </w:r>
      <w:r w:rsidRPr="00ED0090">
        <w:t xml:space="preserve"> </w:t>
      </w:r>
      <w:r>
        <w:t>prijevoza korisnicima uz smanjenje operativnih</w:t>
      </w:r>
      <w:r w:rsidRPr="00ED0090">
        <w:t xml:space="preserve"> troškov</w:t>
      </w:r>
      <w:r>
        <w:t xml:space="preserve">a za </w:t>
      </w:r>
      <w:r w:rsidR="003971FD">
        <w:t>upravitelja</w:t>
      </w:r>
      <w:r>
        <w:t xml:space="preserve"> infrastrukture.</w:t>
      </w:r>
      <w:r w:rsidRPr="00ED0090">
        <w:t xml:space="preserve"> </w:t>
      </w:r>
      <w:r w:rsidR="00AB2BD8">
        <w:t xml:space="preserve">Po potrebi će </w:t>
      </w:r>
      <w:r w:rsidR="00121F1E">
        <w:t xml:space="preserve">se </w:t>
      </w:r>
      <w:r w:rsidR="00AB2BD8">
        <w:t>izmijeniti postojeći PSO ugovor</w:t>
      </w:r>
      <w:r w:rsidR="001A3DA0">
        <w:t>. U</w:t>
      </w:r>
      <w:r w:rsidR="00AB2BD8">
        <w:t xml:space="preserve"> 2027. godini pokrenut</w:t>
      </w:r>
      <w:r w:rsidR="00121F1E">
        <w:t xml:space="preserve"> će se</w:t>
      </w:r>
      <w:r w:rsidR="00AB2BD8">
        <w:t xml:space="preserve"> postupak ugovaranja novog PSO ugovora. </w:t>
      </w:r>
    </w:p>
    <w:p w14:paraId="543C3690" w14:textId="77777777" w:rsidR="00ED0090" w:rsidRDefault="00ED0090" w:rsidP="00ED0090">
      <w:r>
        <w:t>U javnim željezničkim društvima implementirat</w:t>
      </w:r>
      <w:r w:rsidR="00121F1E">
        <w:t xml:space="preserve"> će se</w:t>
      </w:r>
      <w:r>
        <w:t xml:space="preserve"> napredni sustavi za upravljanje ljudskim resursima i radom, kontinuirano provoditi politik</w:t>
      </w:r>
      <w:r w:rsidR="00121F1E">
        <w:t>a</w:t>
      </w:r>
      <w:r>
        <w:t xml:space="preserve"> naknada, program</w:t>
      </w:r>
      <w:r w:rsidR="00121F1E">
        <w:t>i</w:t>
      </w:r>
      <w:r>
        <w:t xml:space="preserve"> stipendiranja i poticati doškolovanje i usavršavanje zaposlenika u znanjima važnima za obavljanje poslova u željezničkom sustavu</w:t>
      </w:r>
      <w:r w:rsidR="00AB2BD8">
        <w:t>. U</w:t>
      </w:r>
      <w:r>
        <w:t xml:space="preserve">spostavit </w:t>
      </w:r>
      <w:r w:rsidR="00AB2BD8">
        <w:t xml:space="preserve">će se </w:t>
      </w:r>
      <w:r>
        <w:t>sustav za napredovanje i razvoj karijere kao planiranje i procjen</w:t>
      </w:r>
      <w:r w:rsidR="00121F1E">
        <w:t>a</w:t>
      </w:r>
      <w:r>
        <w:t xml:space="preserve"> budućih potreba za radom kako bi se unaprijedilo njihovo poslovanje i doprinijelo dugoročnoj održivosti poslovanja.</w:t>
      </w:r>
      <w:r w:rsidR="00AB2BD8">
        <w:t xml:space="preserve"> </w:t>
      </w:r>
    </w:p>
    <w:p w14:paraId="25062089" w14:textId="77777777" w:rsidR="00AB2BD8" w:rsidRDefault="00AB2BD8" w:rsidP="00ED0090">
      <w:r>
        <w:t xml:space="preserve">Potrebno je omogućiti bolje iskorištenje suvišne imovine javnih društava. Izradit će se katalog nekretnina za moguću prenamjenu i gospodarsko iskorištavanje. </w:t>
      </w:r>
    </w:p>
    <w:p w14:paraId="771AE2A9" w14:textId="77777777" w:rsidR="001A3DA0" w:rsidRPr="00AB2BD8" w:rsidRDefault="001A3DA0" w:rsidP="00ED0090">
      <w:r>
        <w:t xml:space="preserve">Utvrdit će se </w:t>
      </w:r>
      <w:r w:rsidRPr="001A3DA0">
        <w:t>plan modernizacije i povećanja učinkovitosti s mjerama financijskog i poslovnog restrukturiranja društva</w:t>
      </w:r>
      <w:r>
        <w:t xml:space="preserve"> HŽ </w:t>
      </w:r>
      <w:proofErr w:type="spellStart"/>
      <w:r>
        <w:t>Cargo</w:t>
      </w:r>
      <w:proofErr w:type="spellEnd"/>
      <w:r>
        <w:t xml:space="preserve">. </w:t>
      </w:r>
    </w:p>
    <w:p w14:paraId="5D7664C1" w14:textId="77777777" w:rsidR="00B623EF" w:rsidRPr="00CB2946" w:rsidRDefault="00A46B00" w:rsidP="00001FEA">
      <w:pPr>
        <w:rPr>
          <w:rFonts w:cs="Arial"/>
          <w:iCs/>
        </w:rPr>
      </w:pPr>
      <w:bookmarkStart w:id="62" w:name="_Hlk115077279"/>
      <w:r w:rsidRPr="00A46B00">
        <w:rPr>
          <w:rFonts w:cs="Arial"/>
        </w:rPr>
        <w:lastRenderedPageBreak/>
        <w:t xml:space="preserve">Provedbom posebnog cilja doprinosi se </w:t>
      </w:r>
      <w:r w:rsidR="00B623EF">
        <w:rPr>
          <w:rFonts w:cs="Arial"/>
        </w:rPr>
        <w:t>poboljšanju održivosti</w:t>
      </w:r>
      <w:r w:rsidRPr="00A46B00">
        <w:rPr>
          <w:rFonts w:cs="Arial"/>
        </w:rPr>
        <w:t xml:space="preserve"> željezni</w:t>
      </w:r>
      <w:r w:rsidR="00B623EF">
        <w:rPr>
          <w:rFonts w:cs="Arial"/>
        </w:rPr>
        <w:t>čk</w:t>
      </w:r>
      <w:r w:rsidR="00C01548">
        <w:rPr>
          <w:rFonts w:cs="Arial"/>
        </w:rPr>
        <w:t xml:space="preserve">og sustava </w:t>
      </w:r>
      <w:r w:rsidRPr="00A46B00">
        <w:rPr>
          <w:rFonts w:cs="Arial"/>
        </w:rPr>
        <w:t>u svrhu pružanja pristupačni</w:t>
      </w:r>
      <w:r w:rsidR="00B623EF">
        <w:rPr>
          <w:rFonts w:cs="Arial"/>
        </w:rPr>
        <w:t>ji</w:t>
      </w:r>
      <w:r w:rsidRPr="00A46B00">
        <w:rPr>
          <w:rFonts w:cs="Arial"/>
        </w:rPr>
        <w:t xml:space="preserve">h i </w:t>
      </w:r>
      <w:r w:rsidR="00B623EF">
        <w:rPr>
          <w:rFonts w:cs="Arial"/>
        </w:rPr>
        <w:t>kvalitetnij</w:t>
      </w:r>
      <w:r w:rsidRPr="00A46B00">
        <w:rPr>
          <w:rFonts w:cs="Arial"/>
        </w:rPr>
        <w:t xml:space="preserve">ih usluga prijevoza društvu čime se doprinosi i postizanju </w:t>
      </w:r>
      <w:r w:rsidR="00B623EF">
        <w:rPr>
          <w:rFonts w:cs="Arial"/>
        </w:rPr>
        <w:t>c</w:t>
      </w:r>
      <w:r w:rsidRPr="00A46B00">
        <w:rPr>
          <w:rFonts w:cs="Arial"/>
        </w:rPr>
        <w:t xml:space="preserve">iljeva održivog razvoja UN Agende 2030, a posebno cilja 11. </w:t>
      </w:r>
      <w:r w:rsidR="00C915A3" w:rsidRPr="00CB2946">
        <w:rPr>
          <w:rFonts w:cs="Arial"/>
          <w:iCs/>
        </w:rPr>
        <w:t xml:space="preserve">Učiniti gradove i naselja </w:t>
      </w:r>
      <w:proofErr w:type="spellStart"/>
      <w:r w:rsidR="00C915A3" w:rsidRPr="00CB2946">
        <w:rPr>
          <w:rFonts w:cs="Arial"/>
          <w:iCs/>
        </w:rPr>
        <w:t>uključivim</w:t>
      </w:r>
      <w:proofErr w:type="spellEnd"/>
      <w:r w:rsidR="00C915A3" w:rsidRPr="00CB2946">
        <w:rPr>
          <w:rFonts w:cs="Arial"/>
          <w:iCs/>
        </w:rPr>
        <w:t>, sigurnim, prilagodljivim i održivim</w:t>
      </w:r>
      <w:r w:rsidR="00C01548" w:rsidRPr="00CB2946">
        <w:rPr>
          <w:rFonts w:cs="Arial"/>
          <w:iCs/>
        </w:rPr>
        <w:t>.</w:t>
      </w:r>
      <w:r w:rsidR="00B623EF" w:rsidRPr="00CB2946">
        <w:rPr>
          <w:rFonts w:cs="Arial"/>
          <w:iCs/>
        </w:rPr>
        <w:t xml:space="preserve"> </w:t>
      </w:r>
    </w:p>
    <w:bookmarkEnd w:id="62"/>
    <w:p w14:paraId="22042797" w14:textId="77777777" w:rsidR="00FE60F9" w:rsidRDefault="00FE60F9" w:rsidP="00001FEA">
      <w:r>
        <w:t>Popis mjera za provedbu ovog posebnog cilja:</w:t>
      </w:r>
    </w:p>
    <w:p w14:paraId="146F9FC7" w14:textId="77777777" w:rsidR="007A508C" w:rsidRDefault="007A508C" w:rsidP="00CB2946">
      <w:pPr>
        <w:pStyle w:val="Odlomakpopisa"/>
        <w:numPr>
          <w:ilvl w:val="0"/>
          <w:numId w:val="32"/>
        </w:numPr>
      </w:pPr>
      <w:r>
        <w:t xml:space="preserve">Višegodišnji ugovor o javnoj usluzi prijevoza putnika </w:t>
      </w:r>
    </w:p>
    <w:p w14:paraId="1951598E" w14:textId="77777777" w:rsidR="007A508C" w:rsidRDefault="007A508C" w:rsidP="00CB2946">
      <w:pPr>
        <w:pStyle w:val="Odlomakpopisa"/>
        <w:numPr>
          <w:ilvl w:val="0"/>
          <w:numId w:val="32"/>
        </w:numPr>
      </w:pPr>
      <w:r>
        <w:t xml:space="preserve">Reorganizacija ustroja javnih željezničkih društava prema smjernicama OECD-a </w:t>
      </w:r>
    </w:p>
    <w:p w14:paraId="60E56244" w14:textId="77777777" w:rsidR="007A508C" w:rsidRDefault="007A508C" w:rsidP="00CB2946">
      <w:pPr>
        <w:pStyle w:val="Odlomakpopisa"/>
        <w:numPr>
          <w:ilvl w:val="0"/>
          <w:numId w:val="32"/>
        </w:numPr>
      </w:pPr>
      <w:r>
        <w:t xml:space="preserve">Racionalizacija poslovanja javnih željezničkih društava </w:t>
      </w:r>
    </w:p>
    <w:p w14:paraId="1FE6664E" w14:textId="77777777" w:rsidR="00A65EE6" w:rsidRDefault="00A65EE6" w:rsidP="00CB2946">
      <w:pPr>
        <w:pStyle w:val="Odlomakpopisa"/>
        <w:numPr>
          <w:ilvl w:val="0"/>
          <w:numId w:val="32"/>
        </w:numPr>
      </w:pPr>
      <w:r w:rsidRPr="00A65EE6">
        <w:t xml:space="preserve">Informatizacija sustava podrške poslovnim procesima željezničkih društava </w:t>
      </w:r>
    </w:p>
    <w:p w14:paraId="6EC2BCDD" w14:textId="3CF50C51" w:rsidR="007A508C" w:rsidRDefault="007A508C" w:rsidP="00CB2946">
      <w:pPr>
        <w:pStyle w:val="Odlomakpopisa"/>
        <w:numPr>
          <w:ilvl w:val="0"/>
          <w:numId w:val="32"/>
        </w:numPr>
      </w:pPr>
      <w:r>
        <w:t>Aktivacija i bolje iskorištavanje suvišne imovine</w:t>
      </w:r>
      <w:r w:rsidR="002064BF">
        <w:t xml:space="preserve"> javnih</w:t>
      </w:r>
      <w:r>
        <w:t xml:space="preserve"> željezničkih društava</w:t>
      </w:r>
    </w:p>
    <w:p w14:paraId="3FD46D2F" w14:textId="77777777" w:rsidR="007A508C" w:rsidRDefault="00AB2BD8" w:rsidP="00CB2946">
      <w:pPr>
        <w:pStyle w:val="Odlomakpopisa"/>
        <w:numPr>
          <w:ilvl w:val="0"/>
          <w:numId w:val="32"/>
        </w:numPr>
      </w:pPr>
      <w:r w:rsidRPr="00AB2BD8">
        <w:t xml:space="preserve">Financijsko i poslovno restrukturiranje društva HŽ </w:t>
      </w:r>
      <w:proofErr w:type="spellStart"/>
      <w:r w:rsidRPr="00AB2BD8">
        <w:t>Cargo</w:t>
      </w:r>
      <w:proofErr w:type="spellEnd"/>
    </w:p>
    <w:p w14:paraId="536D8A80" w14:textId="77777777" w:rsidR="00F37058" w:rsidRPr="007A508C" w:rsidRDefault="007A508C" w:rsidP="00CB2946">
      <w:pPr>
        <w:pStyle w:val="Odlomakpopisa"/>
        <w:numPr>
          <w:ilvl w:val="0"/>
          <w:numId w:val="32"/>
        </w:numPr>
      </w:pPr>
      <w:r>
        <w:t>Jačanje (podizanje) stručnih kompetencija zaposlenika u željezničkom sustavu</w:t>
      </w:r>
      <w:r w:rsidR="008B14B0">
        <w:t>.</w:t>
      </w:r>
    </w:p>
    <w:p w14:paraId="2C6735F4" w14:textId="77777777" w:rsidR="007A508C" w:rsidRPr="0012096F" w:rsidRDefault="007A508C" w:rsidP="00F37058">
      <w:pPr>
        <w:spacing w:after="0"/>
        <w:rPr>
          <w:rFonts w:cs="Arial"/>
        </w:rPr>
      </w:pPr>
    </w:p>
    <w:p w14:paraId="0E8DA93C" w14:textId="77777777" w:rsidR="006C7354" w:rsidRPr="0032545A" w:rsidRDefault="006C7354" w:rsidP="00001FEA">
      <w:pPr>
        <w:rPr>
          <w:rFonts w:cs="Arial"/>
          <w:b/>
          <w:bCs/>
        </w:rPr>
      </w:pPr>
      <w:r w:rsidRPr="0032545A">
        <w:rPr>
          <w:rFonts w:cs="Arial"/>
          <w:b/>
          <w:bCs/>
        </w:rPr>
        <w:t xml:space="preserve">Posebni cilj 2. </w:t>
      </w:r>
      <w:r w:rsidR="00CF56ED">
        <w:rPr>
          <w:rFonts w:cs="Arial"/>
          <w:b/>
          <w:bCs/>
        </w:rPr>
        <w:t>U</w:t>
      </w:r>
      <w:r w:rsidR="00CF56ED" w:rsidRPr="00CF56ED">
        <w:rPr>
          <w:rFonts w:cs="Arial"/>
          <w:b/>
          <w:bCs/>
        </w:rPr>
        <w:t>naprjeđenje usluga u željezničkom prijevozu</w:t>
      </w:r>
    </w:p>
    <w:p w14:paraId="6BA2233C" w14:textId="77777777" w:rsidR="00331085" w:rsidRDefault="00331085" w:rsidP="00331085">
      <w:pPr>
        <w:rPr>
          <w:rFonts w:cs="Arial"/>
        </w:rPr>
      </w:pPr>
      <w:r>
        <w:rPr>
          <w:rFonts w:cs="Arial"/>
        </w:rPr>
        <w:t>Kako bi se poboljšala razina usluga željezničkog prijevoza putnika</w:t>
      </w:r>
      <w:r w:rsidR="001A3DA0">
        <w:rPr>
          <w:rFonts w:cs="Arial"/>
        </w:rPr>
        <w:t xml:space="preserve"> </w:t>
      </w:r>
      <w:r>
        <w:rPr>
          <w:rFonts w:cs="Arial"/>
        </w:rPr>
        <w:t xml:space="preserve">modernizirat će se postojeći i izgraditi novi uslužni objekti za kvalitetnije </w:t>
      </w:r>
      <w:r w:rsidRPr="005625D4">
        <w:rPr>
          <w:rFonts w:cs="Arial"/>
        </w:rPr>
        <w:t>održavanj</w:t>
      </w:r>
      <w:r>
        <w:rPr>
          <w:rFonts w:cs="Arial"/>
        </w:rPr>
        <w:t>e</w:t>
      </w:r>
      <w:r w:rsidRPr="005625D4">
        <w:rPr>
          <w:rFonts w:cs="Arial"/>
        </w:rPr>
        <w:t xml:space="preserve"> </w:t>
      </w:r>
      <w:r>
        <w:rPr>
          <w:rFonts w:cs="Arial"/>
        </w:rPr>
        <w:t xml:space="preserve">prijevoznih kapaciteta. Provest će se informatizacija i digitalizacija u pružanju usluga putničkog prijevoza </w:t>
      </w:r>
      <w:r w:rsidR="001A3DA0">
        <w:rPr>
          <w:rFonts w:cs="Arial"/>
        </w:rPr>
        <w:t>i</w:t>
      </w:r>
      <w:r>
        <w:rPr>
          <w:rFonts w:cs="Arial"/>
        </w:rPr>
        <w:t xml:space="preserve"> </w:t>
      </w:r>
      <w:r>
        <w:t xml:space="preserve">uvesti nove i prilagoditi postojeće usluge zahtjevima korisnika. </w:t>
      </w:r>
    </w:p>
    <w:p w14:paraId="462E96BA" w14:textId="77777777" w:rsidR="006C7354" w:rsidRDefault="001A3DA0" w:rsidP="00001FEA">
      <w:pPr>
        <w:rPr>
          <w:rFonts w:cs="Arial"/>
        </w:rPr>
      </w:pPr>
      <w:r>
        <w:rPr>
          <w:rFonts w:cs="Arial"/>
        </w:rPr>
        <w:t>A</w:t>
      </w:r>
      <w:r w:rsidR="00E12D8A" w:rsidRPr="00E12D8A">
        <w:rPr>
          <w:rFonts w:cs="Arial"/>
        </w:rPr>
        <w:t xml:space="preserve">nalizirat će se mogućnost uvođenja taktnog voznog reda na dionicama </w:t>
      </w:r>
      <w:r w:rsidR="00425419">
        <w:rPr>
          <w:rFonts w:cs="Arial"/>
        </w:rPr>
        <w:t>željezničk</w:t>
      </w:r>
      <w:r w:rsidR="003F68C5">
        <w:rPr>
          <w:rFonts w:cs="Arial"/>
        </w:rPr>
        <w:t>ih</w:t>
      </w:r>
      <w:r w:rsidR="00425419">
        <w:rPr>
          <w:rFonts w:cs="Arial"/>
        </w:rPr>
        <w:t xml:space="preserve"> pr</w:t>
      </w:r>
      <w:r w:rsidR="003F68C5">
        <w:rPr>
          <w:rFonts w:cs="Arial"/>
        </w:rPr>
        <w:t>uga</w:t>
      </w:r>
      <w:r w:rsidR="00425419">
        <w:rPr>
          <w:rFonts w:cs="Arial"/>
        </w:rPr>
        <w:t xml:space="preserve"> </w:t>
      </w:r>
      <w:r w:rsidR="00E12D8A" w:rsidRPr="00E12D8A">
        <w:rPr>
          <w:rFonts w:cs="Arial"/>
        </w:rPr>
        <w:t xml:space="preserve">s </w:t>
      </w:r>
      <w:r w:rsidR="00BD466A">
        <w:rPr>
          <w:rFonts w:cs="Arial"/>
        </w:rPr>
        <w:t>naj</w:t>
      </w:r>
      <w:r w:rsidR="00E12D8A" w:rsidRPr="00E12D8A">
        <w:rPr>
          <w:rFonts w:cs="Arial"/>
        </w:rPr>
        <w:t xml:space="preserve">većom potražnjom kao i </w:t>
      </w:r>
      <w:r w:rsidR="00786B57">
        <w:rPr>
          <w:rFonts w:cs="Arial"/>
        </w:rPr>
        <w:t xml:space="preserve">povećanje frekvencije </w:t>
      </w:r>
      <w:r>
        <w:rPr>
          <w:rFonts w:cs="Arial"/>
        </w:rPr>
        <w:t xml:space="preserve">prometovanja </w:t>
      </w:r>
      <w:r w:rsidR="00786B57">
        <w:rPr>
          <w:rFonts w:cs="Arial"/>
        </w:rPr>
        <w:t xml:space="preserve">vlakova </w:t>
      </w:r>
      <w:r w:rsidR="00E12D8A" w:rsidRPr="00E12D8A">
        <w:rPr>
          <w:rFonts w:cs="Arial"/>
        </w:rPr>
        <w:t>tijekom vršnih razdoblja</w:t>
      </w:r>
      <w:r w:rsidR="00D478E8">
        <w:rPr>
          <w:rFonts w:cs="Arial"/>
        </w:rPr>
        <w:t xml:space="preserve">. </w:t>
      </w:r>
    </w:p>
    <w:p w14:paraId="04594700" w14:textId="77777777" w:rsidR="00C8245D" w:rsidRPr="00C8245D" w:rsidRDefault="001A3DA0" w:rsidP="00001FEA">
      <w:pPr>
        <w:rPr>
          <w:rFonts w:cs="Arial"/>
        </w:rPr>
      </w:pPr>
      <w:r>
        <w:rPr>
          <w:rFonts w:cs="Arial"/>
        </w:rPr>
        <w:t>U</w:t>
      </w:r>
      <w:r w:rsidR="00DC278B">
        <w:rPr>
          <w:rFonts w:cs="Arial"/>
        </w:rPr>
        <w:t xml:space="preserve">naprijedit će se tarifni modeli </w:t>
      </w:r>
      <w:r w:rsidR="00E12D8A">
        <w:rPr>
          <w:rFonts w:cs="Arial"/>
        </w:rPr>
        <w:t xml:space="preserve">HŽPP-a </w:t>
      </w:r>
      <w:r w:rsidR="00DC278B">
        <w:rPr>
          <w:rFonts w:cs="Arial"/>
        </w:rPr>
        <w:t xml:space="preserve">i </w:t>
      </w:r>
      <w:r w:rsidR="00733EAC">
        <w:rPr>
          <w:rFonts w:cs="Arial"/>
        </w:rPr>
        <w:t>pristupačnim</w:t>
      </w:r>
      <w:r w:rsidR="00DC278B">
        <w:rPr>
          <w:rFonts w:cs="Arial"/>
        </w:rPr>
        <w:t xml:space="preserve"> cijenama poticati </w:t>
      </w:r>
      <w:r w:rsidR="00F94D0B">
        <w:rPr>
          <w:rFonts w:cs="Arial"/>
        </w:rPr>
        <w:t>putnike</w:t>
      </w:r>
      <w:r w:rsidR="00DC278B">
        <w:rPr>
          <w:rFonts w:cs="Arial"/>
        </w:rPr>
        <w:t xml:space="preserve"> na vožnju tijekom razdoblja smanjene potražnje</w:t>
      </w:r>
      <w:r w:rsidR="00F94D0B">
        <w:rPr>
          <w:rFonts w:cs="Arial"/>
        </w:rPr>
        <w:t xml:space="preserve"> kao i </w:t>
      </w:r>
      <w:r w:rsidR="00A14622">
        <w:rPr>
          <w:rFonts w:cs="Arial"/>
        </w:rPr>
        <w:t xml:space="preserve">ponuditi </w:t>
      </w:r>
      <w:r w:rsidR="002064BF">
        <w:rPr>
          <w:rFonts w:cs="Arial"/>
        </w:rPr>
        <w:t>snižene</w:t>
      </w:r>
      <w:r w:rsidR="00786B57">
        <w:rPr>
          <w:rFonts w:cs="Arial"/>
        </w:rPr>
        <w:t xml:space="preserve"> cijene za djecu, učenike i studente</w:t>
      </w:r>
      <w:r w:rsidR="00C8245D" w:rsidRPr="00C8245D">
        <w:rPr>
          <w:rFonts w:cs="Arial"/>
        </w:rPr>
        <w:t>.</w:t>
      </w:r>
    </w:p>
    <w:p w14:paraId="70056DEA" w14:textId="77777777" w:rsidR="00C77518" w:rsidRDefault="003F68C5" w:rsidP="00001FEA">
      <w:pPr>
        <w:rPr>
          <w:rFonts w:cs="Arial"/>
        </w:rPr>
      </w:pPr>
      <w:r>
        <w:rPr>
          <w:rFonts w:cs="Arial"/>
        </w:rPr>
        <w:t>U</w:t>
      </w:r>
      <w:r w:rsidR="00C8245D" w:rsidRPr="00C8245D">
        <w:rPr>
          <w:rFonts w:cs="Arial"/>
        </w:rPr>
        <w:t xml:space="preserve"> </w:t>
      </w:r>
      <w:r w:rsidR="00D77D30">
        <w:rPr>
          <w:rFonts w:cs="Arial"/>
        </w:rPr>
        <w:t>službenim mjestima</w:t>
      </w:r>
      <w:r w:rsidR="00337C12">
        <w:rPr>
          <w:rFonts w:cs="Arial"/>
        </w:rPr>
        <w:t xml:space="preserve"> i u vlakovima</w:t>
      </w:r>
      <w:r w:rsidR="00D77D30">
        <w:rPr>
          <w:rFonts w:cs="Arial"/>
        </w:rPr>
        <w:t xml:space="preserve"> </w:t>
      </w:r>
      <w:r w:rsidR="00C8245D" w:rsidRPr="00C8245D">
        <w:rPr>
          <w:rFonts w:cs="Arial"/>
        </w:rPr>
        <w:t>implementirat</w:t>
      </w:r>
      <w:r w:rsidR="007C31FF">
        <w:rPr>
          <w:rFonts w:cs="Arial"/>
        </w:rPr>
        <w:t xml:space="preserve"> će se</w:t>
      </w:r>
      <w:r w:rsidR="00C8245D" w:rsidRPr="00C8245D">
        <w:rPr>
          <w:rFonts w:cs="Arial"/>
        </w:rPr>
        <w:t xml:space="preserve"> automat</w:t>
      </w:r>
      <w:r w:rsidR="00D77D30">
        <w:rPr>
          <w:rFonts w:cs="Arial"/>
        </w:rPr>
        <w:t>izirani</w:t>
      </w:r>
      <w:r w:rsidR="00C8245D" w:rsidRPr="00C8245D">
        <w:rPr>
          <w:rFonts w:cs="Arial"/>
        </w:rPr>
        <w:t xml:space="preserve"> sustavi za </w:t>
      </w:r>
      <w:r w:rsidR="00D77D30">
        <w:rPr>
          <w:rFonts w:cs="Arial"/>
        </w:rPr>
        <w:t>prodaju</w:t>
      </w:r>
      <w:r w:rsidR="00C8245D" w:rsidRPr="00C8245D">
        <w:rPr>
          <w:rFonts w:cs="Arial"/>
        </w:rPr>
        <w:t xml:space="preserve"> karata </w:t>
      </w:r>
      <w:r w:rsidR="00D77D30">
        <w:rPr>
          <w:rFonts w:cs="Arial"/>
        </w:rPr>
        <w:t xml:space="preserve">opremljeni </w:t>
      </w:r>
      <w:r w:rsidR="00C8245D" w:rsidRPr="00C8245D">
        <w:rPr>
          <w:rFonts w:cs="Arial"/>
        </w:rPr>
        <w:t>gotovin</w:t>
      </w:r>
      <w:r w:rsidR="00D77D30">
        <w:rPr>
          <w:rFonts w:cs="Arial"/>
        </w:rPr>
        <w:t>skim i</w:t>
      </w:r>
      <w:r w:rsidR="00C8245D" w:rsidRPr="00C8245D">
        <w:rPr>
          <w:rFonts w:cs="Arial"/>
        </w:rPr>
        <w:t xml:space="preserve"> </w:t>
      </w:r>
      <w:r w:rsidR="00D77D30" w:rsidRPr="00C8245D">
        <w:rPr>
          <w:rFonts w:cs="Arial"/>
        </w:rPr>
        <w:t>beskontaktnim</w:t>
      </w:r>
      <w:r w:rsidR="00C8245D" w:rsidRPr="00C8245D">
        <w:rPr>
          <w:rFonts w:cs="Arial"/>
        </w:rPr>
        <w:t xml:space="preserve"> sustavima naplate.</w:t>
      </w:r>
      <w:r w:rsidR="00D77D30">
        <w:rPr>
          <w:rFonts w:cs="Arial"/>
        </w:rPr>
        <w:t xml:space="preserve"> </w:t>
      </w:r>
    </w:p>
    <w:p w14:paraId="1B569C93" w14:textId="77777777" w:rsidR="00EA46F6" w:rsidRDefault="00EA46F6" w:rsidP="00EA46F6">
      <w:r>
        <w:rPr>
          <w:rFonts w:cs="Arial"/>
        </w:rPr>
        <w:t>Kako bi se uveo integrirani prijevoz putnika</w:t>
      </w:r>
      <w:r w:rsidR="007C31FF">
        <w:rPr>
          <w:rFonts w:cs="Arial"/>
        </w:rPr>
        <w:t>,</w:t>
      </w:r>
      <w:r>
        <w:rPr>
          <w:rFonts w:cs="Arial"/>
        </w:rPr>
        <w:t xml:space="preserve"> planirano je </w:t>
      </w:r>
      <w:r w:rsidRPr="00011D6D">
        <w:rPr>
          <w:rFonts w:cs="Arial"/>
        </w:rPr>
        <w:t xml:space="preserve">uspostaviti integralni sustav upravljanja željezničkim i cestovnim prometom na </w:t>
      </w:r>
      <w:r>
        <w:rPr>
          <w:rFonts w:cs="Arial"/>
        </w:rPr>
        <w:t>urbanom području</w:t>
      </w:r>
      <w:r>
        <w:t xml:space="preserve">. </w:t>
      </w:r>
    </w:p>
    <w:p w14:paraId="64C182E6" w14:textId="77777777" w:rsidR="006C7354" w:rsidRDefault="006C7354" w:rsidP="00001FEA">
      <w:r>
        <w:rPr>
          <w:rFonts w:cs="Arial"/>
        </w:rPr>
        <w:t xml:space="preserve">U cilju poboljšanja usluge željezničkog </w:t>
      </w:r>
      <w:r w:rsidR="00CF56ED">
        <w:rPr>
          <w:rFonts w:cs="Arial"/>
        </w:rPr>
        <w:t xml:space="preserve">teretnog </w:t>
      </w:r>
      <w:r>
        <w:rPr>
          <w:rFonts w:cs="Arial"/>
        </w:rPr>
        <w:t xml:space="preserve">prijevoza poticat će se usluga </w:t>
      </w:r>
      <w:r w:rsidRPr="00AB4CAF">
        <w:t>teretnog željezničkog prijevoza</w:t>
      </w:r>
      <w:r>
        <w:t xml:space="preserve"> u slučaju pojedinačnih pošiljaka </w:t>
      </w:r>
      <w:r w:rsidR="001A3DA0">
        <w:t>te</w:t>
      </w:r>
      <w:r>
        <w:t xml:space="preserve"> drugih komercijalno neisplativih usluga teretnog prijevoza. </w:t>
      </w:r>
    </w:p>
    <w:p w14:paraId="6EC7A70A" w14:textId="77777777" w:rsidR="006C7354" w:rsidRDefault="006C7354" w:rsidP="00001FEA">
      <w:r>
        <w:t xml:space="preserve">Uređenjem teretnih logističkih centara omogućit će se </w:t>
      </w:r>
      <w:r w:rsidR="00CF56ED">
        <w:t xml:space="preserve">uvođenje novih usluga na području Republike Hrvatske, </w:t>
      </w:r>
      <w:r w:rsidRPr="00704871">
        <w:t>rast teretnog prijevoza i širenje logističke ponude</w:t>
      </w:r>
      <w:r w:rsidR="004470C7">
        <w:t xml:space="preserve">. </w:t>
      </w:r>
    </w:p>
    <w:p w14:paraId="7C6023A3" w14:textId="77777777" w:rsidR="002B0460" w:rsidRPr="007C31FF" w:rsidRDefault="002B0460" w:rsidP="002B0460">
      <w:pPr>
        <w:rPr>
          <w:rFonts w:cs="Arial"/>
        </w:rPr>
      </w:pPr>
      <w:r w:rsidRPr="00D11D67">
        <w:rPr>
          <w:rFonts w:cs="Arial"/>
        </w:rPr>
        <w:t xml:space="preserve">Provedbom posebnog cilja doprinosi se poboljšanju </w:t>
      </w:r>
      <w:r>
        <w:rPr>
          <w:rFonts w:cs="Arial"/>
        </w:rPr>
        <w:t>učinkovitosti željezničkog prometa</w:t>
      </w:r>
      <w:r w:rsidRPr="00D11D67">
        <w:rPr>
          <w:rFonts w:cs="Arial"/>
        </w:rPr>
        <w:t xml:space="preserve"> </w:t>
      </w:r>
      <w:r>
        <w:rPr>
          <w:rFonts w:cs="Arial"/>
        </w:rPr>
        <w:t xml:space="preserve">za </w:t>
      </w:r>
      <w:r w:rsidRPr="00D11D67">
        <w:rPr>
          <w:rFonts w:cs="Arial"/>
        </w:rPr>
        <w:t>pružanj</w:t>
      </w:r>
      <w:r>
        <w:rPr>
          <w:rFonts w:cs="Arial"/>
        </w:rPr>
        <w:t>e</w:t>
      </w:r>
      <w:r w:rsidRPr="00D11D67">
        <w:rPr>
          <w:rFonts w:cs="Arial"/>
        </w:rPr>
        <w:t xml:space="preserve"> pristupačni</w:t>
      </w:r>
      <w:r>
        <w:rPr>
          <w:rFonts w:cs="Arial"/>
        </w:rPr>
        <w:t>h</w:t>
      </w:r>
      <w:r w:rsidRPr="00D11D67">
        <w:rPr>
          <w:rFonts w:cs="Arial"/>
        </w:rPr>
        <w:t xml:space="preserve"> i kvalitetnih usluga prijevoza društvu uz unapr</w:t>
      </w:r>
      <w:r w:rsidR="007C31FF">
        <w:rPr>
          <w:rFonts w:cs="Arial"/>
        </w:rPr>
        <w:t>j</w:t>
      </w:r>
      <w:r w:rsidRPr="00D11D67">
        <w:rPr>
          <w:rFonts w:cs="Arial"/>
        </w:rPr>
        <w:t>eđenje sigurnosti i obujma usluga</w:t>
      </w:r>
      <w:r>
        <w:rPr>
          <w:rFonts w:cs="Arial"/>
        </w:rPr>
        <w:t xml:space="preserve"> javnog </w:t>
      </w:r>
      <w:r w:rsidRPr="00D11D67">
        <w:rPr>
          <w:rFonts w:cs="Arial"/>
        </w:rPr>
        <w:t xml:space="preserve">prijevoza čime se doprinosi i postizanju ciljeva održivog razvoja UN Agende 2030, a posebno cilja 11. </w:t>
      </w:r>
      <w:r w:rsidRPr="00CB2946">
        <w:rPr>
          <w:rFonts w:cs="Arial"/>
          <w:iCs/>
        </w:rPr>
        <w:t xml:space="preserve">Učiniti gradove i naselja </w:t>
      </w:r>
      <w:proofErr w:type="spellStart"/>
      <w:r w:rsidRPr="00CB2946">
        <w:rPr>
          <w:rFonts w:cs="Arial"/>
          <w:iCs/>
        </w:rPr>
        <w:t>uključivim</w:t>
      </w:r>
      <w:proofErr w:type="spellEnd"/>
      <w:r w:rsidRPr="00CB2946">
        <w:rPr>
          <w:rFonts w:cs="Arial"/>
          <w:iCs/>
        </w:rPr>
        <w:t>, sigurnim, prilagodljivim i održivim</w:t>
      </w:r>
      <w:r w:rsidRPr="007C31FF">
        <w:rPr>
          <w:rFonts w:cs="Arial"/>
        </w:rPr>
        <w:t>.</w:t>
      </w:r>
    </w:p>
    <w:p w14:paraId="0F4431E8" w14:textId="77777777" w:rsidR="00D5657C" w:rsidRDefault="00D5657C" w:rsidP="002B0460">
      <w:pPr>
        <w:rPr>
          <w:rFonts w:cs="Arial"/>
        </w:rPr>
      </w:pPr>
    </w:p>
    <w:p w14:paraId="463B5757" w14:textId="77777777" w:rsidR="00CF56ED" w:rsidRPr="00F37058" w:rsidRDefault="002B0460" w:rsidP="002B0460">
      <w:pPr>
        <w:rPr>
          <w:rFonts w:cs="Arial"/>
        </w:rPr>
      </w:pPr>
      <w:r w:rsidRPr="00F37058">
        <w:rPr>
          <w:rFonts w:cs="Arial"/>
        </w:rPr>
        <w:t xml:space="preserve">Mjere za provedbu posebnog cilja: </w:t>
      </w:r>
    </w:p>
    <w:p w14:paraId="6D927813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>Unaprjeđenje voznog parka za prijevoz putnika</w:t>
      </w:r>
    </w:p>
    <w:p w14:paraId="27155815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>Poboljšanje usluga održavanja putničkog voznog parka</w:t>
      </w:r>
    </w:p>
    <w:p w14:paraId="78E0D5BF" w14:textId="77777777" w:rsidR="007A508C" w:rsidRPr="001A3DA0" w:rsidRDefault="007A508C" w:rsidP="00CB2946">
      <w:pPr>
        <w:pStyle w:val="Odlomakpopisa"/>
        <w:numPr>
          <w:ilvl w:val="0"/>
          <w:numId w:val="33"/>
        </w:numPr>
      </w:pPr>
      <w:r w:rsidRPr="001A3DA0">
        <w:lastRenderedPageBreak/>
        <w:t xml:space="preserve">Nadogradnja </w:t>
      </w:r>
      <w:r w:rsidR="001A3DA0" w:rsidRPr="001A3DA0">
        <w:t xml:space="preserve">sustava za informiranje, </w:t>
      </w:r>
      <w:r w:rsidRPr="001A3DA0">
        <w:t>informatičkog i prodajnog sustava te modernizacija vlakova s informatičkim sustavom</w:t>
      </w:r>
    </w:p>
    <w:p w14:paraId="64750276" w14:textId="77777777" w:rsidR="00405932" w:rsidRDefault="00405932" w:rsidP="00CB2946">
      <w:pPr>
        <w:pStyle w:val="Odlomakpopisa"/>
        <w:numPr>
          <w:ilvl w:val="0"/>
          <w:numId w:val="33"/>
        </w:numPr>
      </w:pPr>
      <w:r w:rsidRPr="00405932">
        <w:t xml:space="preserve">Uvođenje taktnog voznog reda </w:t>
      </w:r>
    </w:p>
    <w:p w14:paraId="77EC4F4B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 xml:space="preserve">Unaprjeđenje ponude usluga u putničkom prijevozu </w:t>
      </w:r>
      <w:r w:rsidR="007C31FF">
        <w:t xml:space="preserve">prema </w:t>
      </w:r>
      <w:r>
        <w:t>zahtjevima korisnika</w:t>
      </w:r>
    </w:p>
    <w:p w14:paraId="3FAAD5B3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>Uvođenje integriranog prijevoza putnika</w:t>
      </w:r>
    </w:p>
    <w:p w14:paraId="17D50BC5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>Poticanje usluge teretnog željezničkog prijevoza</w:t>
      </w:r>
    </w:p>
    <w:p w14:paraId="633152F1" w14:textId="77777777" w:rsidR="007A508C" w:rsidRDefault="007A508C" w:rsidP="00CB2946">
      <w:pPr>
        <w:pStyle w:val="Odlomakpopisa"/>
        <w:numPr>
          <w:ilvl w:val="0"/>
          <w:numId w:val="33"/>
        </w:numPr>
      </w:pPr>
      <w:r>
        <w:t>Unaprjeđenje voznog parka za prijevoz tereta</w:t>
      </w:r>
    </w:p>
    <w:p w14:paraId="7647C13D" w14:textId="77777777" w:rsidR="002B0460" w:rsidRPr="00F37058" w:rsidRDefault="007A508C" w:rsidP="00CB2946">
      <w:pPr>
        <w:pStyle w:val="Odlomakpopisa"/>
        <w:numPr>
          <w:ilvl w:val="0"/>
          <w:numId w:val="33"/>
        </w:numPr>
      </w:pPr>
      <w:r>
        <w:t>Unapr</w:t>
      </w:r>
      <w:r w:rsidR="007C31FF">
        <w:t>j</w:t>
      </w:r>
      <w:r>
        <w:t>eđenje usluga intermodalnog prijevoza</w:t>
      </w:r>
      <w:r w:rsidR="008B14B0">
        <w:t>.</w:t>
      </w:r>
    </w:p>
    <w:p w14:paraId="39CD2B42" w14:textId="77777777" w:rsidR="00F37058" w:rsidRDefault="00F37058" w:rsidP="00F37058"/>
    <w:p w14:paraId="0F01649D" w14:textId="77777777" w:rsidR="00E702EE" w:rsidRPr="00044742" w:rsidRDefault="004470C7" w:rsidP="00001FEA">
      <w:pPr>
        <w:pStyle w:val="Naslov2"/>
        <w:ind w:left="0" w:firstLine="0"/>
      </w:pPr>
      <w:bookmarkStart w:id="63" w:name="_Ref116559369"/>
      <w:bookmarkStart w:id="64" w:name="_Toc122335628"/>
      <w:bookmarkEnd w:id="61"/>
      <w:r w:rsidRPr="004470C7">
        <w:t>Popis pokazatelja ishoda</w:t>
      </w:r>
      <w:bookmarkEnd w:id="63"/>
      <w:bookmarkEnd w:id="64"/>
      <w:r w:rsidR="00E702EE">
        <w:t xml:space="preserve"> </w:t>
      </w:r>
    </w:p>
    <w:p w14:paraId="437D8226" w14:textId="77777777" w:rsidR="004470C7" w:rsidRDefault="004470C7" w:rsidP="004470C7">
      <w:r w:rsidRPr="00F63B87">
        <w:t xml:space="preserve">Kako bi se osigurali uvjeti za mjerenje uspješnosti u provedbi posebnih ciljeva Nacionalnog plana, iz Biblioteke pokazatelja odabrani </w:t>
      </w:r>
      <w:r w:rsidR="007C31FF">
        <w:t xml:space="preserve">su </w:t>
      </w:r>
      <w:r w:rsidRPr="00F63B87">
        <w:t>prikladni pokazatelji uspješnosti</w:t>
      </w:r>
      <w:r>
        <w:t xml:space="preserve"> koji omogućuju praćenje, izvješćivanje i vrednovanje uspješnosti u postizanju utvrđenog cilja. </w:t>
      </w:r>
    </w:p>
    <w:p w14:paraId="780BFA84" w14:textId="77777777" w:rsidR="00F37C8A" w:rsidRDefault="004470C7" w:rsidP="004470C7">
      <w:r>
        <w:t>U nastavku su prikazani pokazatelji ishoda za pojedini posebni cilj Nacionalnog plana zajedno s izvorima podataka za praćenje napretka u njihov</w:t>
      </w:r>
      <w:r w:rsidR="007C31FF">
        <w:t>u</w:t>
      </w:r>
      <w:r>
        <w:t xml:space="preserve"> ostvarenju. </w:t>
      </w:r>
    </w:p>
    <w:p w14:paraId="40F6BE9A" w14:textId="7E968060" w:rsidR="00A67B7B" w:rsidRDefault="00A67B7B" w:rsidP="004470C7"/>
    <w:p w14:paraId="54FAE8C5" w14:textId="77777777" w:rsidR="00470886" w:rsidRPr="00470886" w:rsidRDefault="00470886" w:rsidP="00001FEA">
      <w:pPr>
        <w:pStyle w:val="Tijeloteksta"/>
      </w:pPr>
      <w:bookmarkStart w:id="65" w:name="_Toc122536067"/>
      <w:r w:rsidRPr="004C70A4">
        <w:t xml:space="preserve">Tablica </w:t>
      </w:r>
      <w:r w:rsidRPr="004C70A4">
        <w:fldChar w:fldCharType="begin"/>
      </w:r>
      <w:r w:rsidRPr="004C70A4">
        <w:instrText xml:space="preserve"> SEQ Tablica \* ARABIC </w:instrText>
      </w:r>
      <w:r w:rsidRPr="004C70A4">
        <w:fldChar w:fldCharType="separate"/>
      </w:r>
      <w:r w:rsidR="00F11CC4">
        <w:rPr>
          <w:noProof/>
        </w:rPr>
        <w:t>3</w:t>
      </w:r>
      <w:r w:rsidRPr="004C70A4">
        <w:fldChar w:fldCharType="end"/>
      </w:r>
      <w:r w:rsidR="007C31FF">
        <w:t>:</w:t>
      </w:r>
      <w:r>
        <w:t xml:space="preserve"> </w:t>
      </w:r>
      <w:r w:rsidRPr="00140239">
        <w:t>Posebni ciljevi i ključni pokazatelji ishoda</w:t>
      </w:r>
      <w:bookmarkEnd w:id="65"/>
    </w:p>
    <w:tbl>
      <w:tblPr>
        <w:tblStyle w:val="Svijetlatablicareetke-isticanje1"/>
        <w:tblW w:w="4848" w:type="pct"/>
        <w:jc w:val="center"/>
        <w:tblLook w:val="04A0" w:firstRow="1" w:lastRow="0" w:firstColumn="1" w:lastColumn="0" w:noHBand="0" w:noVBand="1"/>
      </w:tblPr>
      <w:tblGrid>
        <w:gridCol w:w="1564"/>
        <w:gridCol w:w="1357"/>
        <w:gridCol w:w="2217"/>
        <w:gridCol w:w="1542"/>
        <w:gridCol w:w="1186"/>
        <w:gridCol w:w="919"/>
      </w:tblGrid>
      <w:tr w:rsidR="00C0471E" w:rsidRPr="0045477D" w14:paraId="04201FB8" w14:textId="77777777" w:rsidTr="00A65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Align w:val="center"/>
            <w:hideMark/>
          </w:tcPr>
          <w:p w14:paraId="38C0AAB4" w14:textId="6BCA6447" w:rsidR="00C0471E" w:rsidRPr="00EE6FE9" w:rsidRDefault="00C0471E" w:rsidP="00001FEA">
            <w:pPr>
              <w:spacing w:line="240" w:lineRule="auto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477D">
              <w:rPr>
                <w:rFonts w:cs="Arial"/>
                <w:sz w:val="16"/>
                <w:szCs w:val="16"/>
              </w:rPr>
              <w:t>trateški cilj</w:t>
            </w:r>
            <w:r w:rsidR="00A65EE6">
              <w:rPr>
                <w:rStyle w:val="Referencafusnote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74" w:type="pct"/>
            <w:vAlign w:val="center"/>
            <w:hideMark/>
          </w:tcPr>
          <w:p w14:paraId="52618CC3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5477D">
              <w:rPr>
                <w:rFonts w:cs="Arial"/>
                <w:sz w:val="16"/>
                <w:szCs w:val="16"/>
              </w:rPr>
              <w:t>osebni cilj</w:t>
            </w:r>
          </w:p>
          <w:p w14:paraId="0361F8B9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NP-a</w:t>
            </w:r>
          </w:p>
        </w:tc>
        <w:tc>
          <w:tcPr>
            <w:tcW w:w="1263" w:type="pct"/>
            <w:vAlign w:val="center"/>
            <w:hideMark/>
          </w:tcPr>
          <w:p w14:paraId="608F898D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5477D">
              <w:rPr>
                <w:rFonts w:cs="Arial"/>
                <w:sz w:val="16"/>
                <w:szCs w:val="16"/>
              </w:rPr>
              <w:t>okazatelj ishoda</w:t>
            </w:r>
          </w:p>
        </w:tc>
        <w:tc>
          <w:tcPr>
            <w:tcW w:w="879" w:type="pct"/>
            <w:vAlign w:val="center"/>
          </w:tcPr>
          <w:p w14:paraId="04EAD02C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5477D">
              <w:rPr>
                <w:rFonts w:cs="Arial"/>
                <w:sz w:val="16"/>
                <w:szCs w:val="16"/>
              </w:rPr>
              <w:t>očetna vrijednost</w:t>
            </w:r>
          </w:p>
        </w:tc>
        <w:tc>
          <w:tcPr>
            <w:tcW w:w="676" w:type="pct"/>
            <w:vAlign w:val="center"/>
          </w:tcPr>
          <w:p w14:paraId="3F40E859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45477D">
              <w:rPr>
                <w:rFonts w:cs="Arial"/>
                <w:sz w:val="16"/>
                <w:szCs w:val="16"/>
              </w:rPr>
              <w:t>iljna vrijednost 2030</w:t>
            </w:r>
          </w:p>
        </w:tc>
        <w:tc>
          <w:tcPr>
            <w:tcW w:w="517" w:type="pct"/>
            <w:vAlign w:val="center"/>
          </w:tcPr>
          <w:p w14:paraId="381E794C" w14:textId="77777777" w:rsidR="00C0471E" w:rsidRPr="0045477D" w:rsidRDefault="00C0471E" w:rsidP="00001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Pr="0045477D">
              <w:rPr>
                <w:rFonts w:cs="Arial"/>
                <w:sz w:val="16"/>
                <w:szCs w:val="16"/>
              </w:rPr>
              <w:t>zvor podataka</w:t>
            </w:r>
          </w:p>
        </w:tc>
      </w:tr>
      <w:tr w:rsidR="00C0471E" w:rsidRPr="0045477D" w14:paraId="5D1E1D4A" w14:textId="77777777" w:rsidTr="00A65EE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 w:val="restart"/>
            <w:vAlign w:val="center"/>
            <w:hideMark/>
          </w:tcPr>
          <w:p w14:paraId="5F6D97C7" w14:textId="77777777" w:rsidR="00C0471E" w:rsidRPr="000F657A" w:rsidRDefault="00C0471E" w:rsidP="00001FEA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bookmarkStart w:id="66" w:name="_Hlk114047163"/>
            <w:r w:rsidRPr="0045477D">
              <w:rPr>
                <w:rFonts w:cs="Arial"/>
                <w:sz w:val="16"/>
                <w:szCs w:val="16"/>
              </w:rPr>
              <w:t>ODRŽIV I KONKURENTAN ŽELJEZNIČKI SUSTAV</w:t>
            </w:r>
          </w:p>
        </w:tc>
        <w:tc>
          <w:tcPr>
            <w:tcW w:w="774" w:type="pct"/>
            <w:vMerge w:val="restart"/>
            <w:vAlign w:val="center"/>
            <w:hideMark/>
          </w:tcPr>
          <w:p w14:paraId="0A64A781" w14:textId="5CEEF56C" w:rsidR="00C0471E" w:rsidRPr="0045477D" w:rsidRDefault="00C0471E" w:rsidP="0000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1.</w:t>
            </w:r>
            <w:r w:rsidRPr="0045477D">
              <w:rPr>
                <w:sz w:val="16"/>
                <w:szCs w:val="16"/>
              </w:rPr>
              <w:t xml:space="preserve"> </w:t>
            </w:r>
            <w:r w:rsidR="00A65EE6" w:rsidRPr="00A65EE6">
              <w:rPr>
                <w:rFonts w:cs="Arial"/>
                <w:sz w:val="16"/>
                <w:szCs w:val="16"/>
              </w:rPr>
              <w:t>Poboljšanje ekonomske i financijske održivosti upravljanja željezničkim sustavom</w:t>
            </w:r>
          </w:p>
        </w:tc>
        <w:tc>
          <w:tcPr>
            <w:tcW w:w="1263" w:type="pct"/>
            <w:vAlign w:val="center"/>
          </w:tcPr>
          <w:p w14:paraId="527ABD27" w14:textId="459F5CBB" w:rsidR="00C0471E" w:rsidRPr="00AA4593" w:rsidRDefault="00C0471E" w:rsidP="003F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C0471E">
              <w:rPr>
                <w:rFonts w:cs="Arial"/>
                <w:sz w:val="16"/>
                <w:szCs w:val="16"/>
              </w:rPr>
              <w:t>OI.02.11.58</w:t>
            </w:r>
            <w:r>
              <w:rPr>
                <w:rFonts w:cs="Arial"/>
                <w:sz w:val="16"/>
                <w:szCs w:val="16"/>
              </w:rPr>
              <w:t xml:space="preserve"> S</w:t>
            </w:r>
            <w:r w:rsidRPr="0018174B">
              <w:rPr>
                <w:rFonts w:cs="Arial"/>
                <w:sz w:val="16"/>
                <w:szCs w:val="16"/>
              </w:rPr>
              <w:t>ubvencija po vlak</w:t>
            </w:r>
            <w:r>
              <w:rPr>
                <w:rFonts w:cs="Arial"/>
                <w:sz w:val="16"/>
                <w:szCs w:val="16"/>
              </w:rPr>
              <w:t>-</w:t>
            </w:r>
            <w:r w:rsidRPr="0018174B">
              <w:rPr>
                <w:rFonts w:cs="Arial"/>
                <w:sz w:val="16"/>
                <w:szCs w:val="16"/>
              </w:rPr>
              <w:t>km u javnom putničkom prijevozu (</w:t>
            </w:r>
            <w:r>
              <w:rPr>
                <w:rFonts w:cs="Arial"/>
                <w:sz w:val="16"/>
                <w:szCs w:val="16"/>
              </w:rPr>
              <w:t>EUR</w:t>
            </w:r>
            <w:r w:rsidRPr="001817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79" w:type="pct"/>
            <w:vAlign w:val="center"/>
          </w:tcPr>
          <w:p w14:paraId="1D83C6DD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4,56</w:t>
            </w:r>
          </w:p>
        </w:tc>
        <w:tc>
          <w:tcPr>
            <w:tcW w:w="676" w:type="pct"/>
            <w:vAlign w:val="center"/>
          </w:tcPr>
          <w:p w14:paraId="6370BEDC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4,00</w:t>
            </w:r>
          </w:p>
        </w:tc>
        <w:tc>
          <w:tcPr>
            <w:tcW w:w="517" w:type="pct"/>
            <w:vAlign w:val="center"/>
          </w:tcPr>
          <w:p w14:paraId="7756EF0F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HŽPP</w:t>
            </w:r>
          </w:p>
        </w:tc>
      </w:tr>
      <w:tr w:rsidR="00C0471E" w:rsidRPr="0045477D" w14:paraId="67FB42FB" w14:textId="77777777" w:rsidTr="00A65EE6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/>
            <w:vAlign w:val="center"/>
          </w:tcPr>
          <w:p w14:paraId="6756900C" w14:textId="77777777" w:rsidR="00C0471E" w:rsidRPr="0045477D" w:rsidRDefault="00C0471E" w:rsidP="00001FEA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Merge/>
            <w:vAlign w:val="center"/>
          </w:tcPr>
          <w:p w14:paraId="7EE11956" w14:textId="77777777" w:rsidR="00C0471E" w:rsidRPr="0045477D" w:rsidRDefault="00C0471E" w:rsidP="0000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3" w:type="pct"/>
            <w:vAlign w:val="center"/>
          </w:tcPr>
          <w:p w14:paraId="1C95F78C" w14:textId="4D01FE25" w:rsidR="00C0471E" w:rsidRPr="00FC1DFA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0471E">
              <w:rPr>
                <w:rFonts w:cs="Arial"/>
                <w:sz w:val="16"/>
                <w:szCs w:val="16"/>
              </w:rPr>
              <w:t>OI.02.11.59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1DFA">
              <w:rPr>
                <w:rFonts w:cs="Arial"/>
                <w:sz w:val="16"/>
                <w:szCs w:val="16"/>
              </w:rPr>
              <w:t>prihod po zaposlenom</w:t>
            </w:r>
            <w:r>
              <w:rPr>
                <w:rFonts w:cs="Arial"/>
                <w:sz w:val="16"/>
                <w:szCs w:val="16"/>
              </w:rPr>
              <w:t>e</w:t>
            </w:r>
            <w:r w:rsidRPr="00FC1DFA">
              <w:rPr>
                <w:rFonts w:cs="Arial"/>
                <w:sz w:val="16"/>
                <w:szCs w:val="16"/>
              </w:rPr>
              <w:t xml:space="preserve"> u javnim željezničkim društvima</w:t>
            </w:r>
            <w:r>
              <w:rPr>
                <w:rFonts w:cs="Arial"/>
                <w:sz w:val="16"/>
                <w:szCs w:val="16"/>
              </w:rPr>
              <w:t xml:space="preserve"> (EUR)</w:t>
            </w:r>
          </w:p>
        </w:tc>
        <w:tc>
          <w:tcPr>
            <w:tcW w:w="879" w:type="pct"/>
            <w:vAlign w:val="center"/>
          </w:tcPr>
          <w:p w14:paraId="6BC4B190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C1DFA">
              <w:rPr>
                <w:rFonts w:cs="Arial"/>
                <w:sz w:val="16"/>
                <w:szCs w:val="16"/>
              </w:rPr>
              <w:t xml:space="preserve">40.284 </w:t>
            </w:r>
          </w:p>
        </w:tc>
        <w:tc>
          <w:tcPr>
            <w:tcW w:w="676" w:type="pct"/>
            <w:vAlign w:val="center"/>
          </w:tcPr>
          <w:p w14:paraId="73DCCD48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60.920 </w:t>
            </w:r>
          </w:p>
        </w:tc>
        <w:tc>
          <w:tcPr>
            <w:tcW w:w="517" w:type="pct"/>
            <w:vAlign w:val="center"/>
          </w:tcPr>
          <w:p w14:paraId="78BC399D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MMPI</w:t>
            </w:r>
          </w:p>
        </w:tc>
      </w:tr>
      <w:tr w:rsidR="00C0471E" w:rsidRPr="0045477D" w14:paraId="7DCC9583" w14:textId="77777777" w:rsidTr="00A65EE6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/>
            <w:vAlign w:val="center"/>
          </w:tcPr>
          <w:p w14:paraId="2D457645" w14:textId="77777777" w:rsidR="00C0471E" w:rsidRPr="0045477D" w:rsidRDefault="00C0471E" w:rsidP="00001FEA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Merge/>
            <w:vAlign w:val="center"/>
          </w:tcPr>
          <w:p w14:paraId="5CD6FBCC" w14:textId="77777777" w:rsidR="00C0471E" w:rsidRPr="0045477D" w:rsidRDefault="00C0471E" w:rsidP="0000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3" w:type="pct"/>
            <w:vAlign w:val="center"/>
          </w:tcPr>
          <w:p w14:paraId="3E86ACEE" w14:textId="13D3BF7E" w:rsidR="00C0471E" w:rsidRPr="00FC1DFA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0471E">
              <w:rPr>
                <w:rFonts w:cs="Arial"/>
                <w:sz w:val="16"/>
                <w:szCs w:val="16"/>
              </w:rPr>
              <w:t>OI.02.11.60</w:t>
            </w:r>
            <w:r w:rsidR="0005794A">
              <w:rPr>
                <w:rFonts w:cs="Arial"/>
                <w:sz w:val="16"/>
                <w:szCs w:val="16"/>
              </w:rPr>
              <w:t xml:space="preserve"> U</w:t>
            </w:r>
            <w:r w:rsidRPr="00FC1DFA">
              <w:rPr>
                <w:rFonts w:cs="Arial"/>
                <w:sz w:val="16"/>
                <w:szCs w:val="16"/>
              </w:rPr>
              <w:t>dio visokoobrazovanih u ukupnom broju zaposlenih u javnim željezničkim društvima</w:t>
            </w:r>
            <w:r>
              <w:rPr>
                <w:rFonts w:cs="Arial"/>
                <w:sz w:val="16"/>
                <w:szCs w:val="16"/>
              </w:rPr>
              <w:t xml:space="preserve"> (%)</w:t>
            </w:r>
          </w:p>
        </w:tc>
        <w:tc>
          <w:tcPr>
            <w:tcW w:w="879" w:type="pct"/>
            <w:vAlign w:val="center"/>
          </w:tcPr>
          <w:p w14:paraId="0A39E26E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C1DFA">
              <w:rPr>
                <w:rFonts w:cs="Arial"/>
                <w:sz w:val="16"/>
                <w:szCs w:val="16"/>
              </w:rPr>
              <w:t>18,4</w:t>
            </w:r>
          </w:p>
        </w:tc>
        <w:tc>
          <w:tcPr>
            <w:tcW w:w="676" w:type="pct"/>
            <w:vAlign w:val="center"/>
          </w:tcPr>
          <w:p w14:paraId="69B04B02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17" w:type="pct"/>
            <w:vAlign w:val="center"/>
          </w:tcPr>
          <w:p w14:paraId="2B3A7CA5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MMPI</w:t>
            </w:r>
          </w:p>
        </w:tc>
      </w:tr>
      <w:tr w:rsidR="00C0471E" w:rsidRPr="0045477D" w14:paraId="6E4432CE" w14:textId="77777777" w:rsidTr="00A65EE6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 w:val="restart"/>
            <w:vAlign w:val="center"/>
            <w:hideMark/>
          </w:tcPr>
          <w:p w14:paraId="2C90BF0C" w14:textId="77777777" w:rsidR="00C0471E" w:rsidRPr="0045477D" w:rsidRDefault="00C0471E" w:rsidP="00AA459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 w:rsidRPr="0045477D">
              <w:rPr>
                <w:rFonts w:cs="Arial"/>
                <w:sz w:val="16"/>
                <w:szCs w:val="16"/>
              </w:rPr>
              <w:t>INTEGRIRAN I INTERMODALAN ŽELJEZNIČKI SUSTAV</w:t>
            </w:r>
          </w:p>
        </w:tc>
        <w:tc>
          <w:tcPr>
            <w:tcW w:w="774" w:type="pct"/>
            <w:vMerge w:val="restart"/>
            <w:vAlign w:val="center"/>
          </w:tcPr>
          <w:p w14:paraId="47FDFDF6" w14:textId="77777777" w:rsidR="00C0471E" w:rsidRPr="0045477D" w:rsidRDefault="00C0471E" w:rsidP="00AA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4D4236">
              <w:rPr>
                <w:rFonts w:cs="Arial"/>
                <w:sz w:val="16"/>
                <w:szCs w:val="16"/>
              </w:rPr>
              <w:t>Unaprjeđenje usluga u željezničkom prijevozu</w:t>
            </w:r>
          </w:p>
        </w:tc>
        <w:tc>
          <w:tcPr>
            <w:tcW w:w="1263" w:type="pct"/>
            <w:vAlign w:val="center"/>
          </w:tcPr>
          <w:p w14:paraId="76048E98" w14:textId="0E2AA752" w:rsidR="00C0471E" w:rsidRPr="0045477D" w:rsidRDefault="00C0471E" w:rsidP="003F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OI.02.11.28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05794A">
              <w:rPr>
                <w:rFonts w:cs="Arial"/>
                <w:sz w:val="16"/>
                <w:szCs w:val="16"/>
              </w:rPr>
              <w:t>Ž</w:t>
            </w:r>
            <w:r w:rsidRPr="0045477D">
              <w:rPr>
                <w:rFonts w:cs="Arial"/>
                <w:sz w:val="16"/>
                <w:szCs w:val="16"/>
              </w:rPr>
              <w:t xml:space="preserve">eljeznički promet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45477D">
              <w:rPr>
                <w:rFonts w:cs="Arial"/>
                <w:sz w:val="16"/>
                <w:szCs w:val="16"/>
              </w:rPr>
              <w:t xml:space="preserve"> ukupni godišnji prijevoz putnika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45477D">
              <w:rPr>
                <w:rFonts w:cs="Arial"/>
                <w:sz w:val="16"/>
                <w:szCs w:val="16"/>
              </w:rPr>
              <w:t>mil.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79" w:type="pct"/>
            <w:vAlign w:val="center"/>
          </w:tcPr>
          <w:p w14:paraId="421204DB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 xml:space="preserve">13,5 </w:t>
            </w:r>
          </w:p>
          <w:p w14:paraId="48512325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(2021)</w:t>
            </w:r>
          </w:p>
        </w:tc>
        <w:tc>
          <w:tcPr>
            <w:tcW w:w="676" w:type="pct"/>
            <w:vAlign w:val="center"/>
          </w:tcPr>
          <w:p w14:paraId="6BBE1742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</w:t>
            </w:r>
          </w:p>
        </w:tc>
        <w:tc>
          <w:tcPr>
            <w:tcW w:w="517" w:type="pct"/>
            <w:vAlign w:val="center"/>
          </w:tcPr>
          <w:p w14:paraId="768F307D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MMPI</w:t>
            </w:r>
          </w:p>
        </w:tc>
      </w:tr>
      <w:tr w:rsidR="00C0471E" w:rsidRPr="0045477D" w14:paraId="614643D4" w14:textId="77777777" w:rsidTr="00A65EE6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/>
            <w:vAlign w:val="center"/>
          </w:tcPr>
          <w:p w14:paraId="495DEB5E" w14:textId="77777777" w:rsidR="00C0471E" w:rsidRPr="0045477D" w:rsidRDefault="00C0471E" w:rsidP="00AA45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Merge/>
            <w:vAlign w:val="center"/>
          </w:tcPr>
          <w:p w14:paraId="331B4998" w14:textId="77777777" w:rsidR="00C0471E" w:rsidRPr="0045477D" w:rsidRDefault="00C0471E" w:rsidP="00AA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3" w:type="pct"/>
            <w:vAlign w:val="center"/>
          </w:tcPr>
          <w:p w14:paraId="38E31AE5" w14:textId="5EBF4DC6" w:rsidR="00C0471E" w:rsidRPr="0045477D" w:rsidRDefault="0005794A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05794A">
              <w:rPr>
                <w:rFonts w:cs="Arial"/>
                <w:sz w:val="16"/>
                <w:szCs w:val="16"/>
              </w:rPr>
              <w:t>OI.02.11.61</w:t>
            </w:r>
            <w:r>
              <w:rPr>
                <w:rFonts w:cs="Arial"/>
                <w:sz w:val="16"/>
                <w:szCs w:val="16"/>
              </w:rPr>
              <w:t xml:space="preserve"> U</w:t>
            </w:r>
            <w:r w:rsidR="00C0471E" w:rsidRPr="0045477D">
              <w:rPr>
                <w:rFonts w:cs="Arial"/>
                <w:sz w:val="16"/>
                <w:szCs w:val="16"/>
              </w:rPr>
              <w:t>dio integriranog prijevoza putnika željeznicom u ukupnom</w:t>
            </w:r>
            <w:r w:rsidR="00C0471E">
              <w:rPr>
                <w:rFonts w:cs="Arial"/>
                <w:sz w:val="16"/>
                <w:szCs w:val="16"/>
              </w:rPr>
              <w:t xml:space="preserve"> prijevozu (</w:t>
            </w:r>
            <w:r w:rsidR="00C0471E" w:rsidRPr="0045477D">
              <w:rPr>
                <w:rFonts w:cs="Arial"/>
                <w:sz w:val="16"/>
                <w:szCs w:val="16"/>
              </w:rPr>
              <w:t>%</w:t>
            </w:r>
            <w:r w:rsidR="00C0471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79" w:type="pct"/>
            <w:vAlign w:val="center"/>
          </w:tcPr>
          <w:p w14:paraId="347BDFF2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6" w:type="pct"/>
            <w:vAlign w:val="center"/>
          </w:tcPr>
          <w:p w14:paraId="0F4B03AF" w14:textId="77777777" w:rsidR="00C0471E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17" w:type="pct"/>
            <w:vAlign w:val="center"/>
          </w:tcPr>
          <w:p w14:paraId="4BD90FF7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MMPI</w:t>
            </w:r>
          </w:p>
        </w:tc>
      </w:tr>
      <w:tr w:rsidR="00C0471E" w:rsidRPr="0045477D" w14:paraId="7250069C" w14:textId="77777777" w:rsidTr="00A65EE6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/>
            <w:vAlign w:val="center"/>
          </w:tcPr>
          <w:p w14:paraId="5FA518B2" w14:textId="77777777" w:rsidR="00C0471E" w:rsidRPr="0045477D" w:rsidRDefault="00C0471E" w:rsidP="00001FEA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Merge/>
            <w:vAlign w:val="center"/>
          </w:tcPr>
          <w:p w14:paraId="5BB14818" w14:textId="77777777" w:rsidR="00C0471E" w:rsidRPr="0045477D" w:rsidRDefault="00C0471E" w:rsidP="0000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3" w:type="pct"/>
            <w:vAlign w:val="center"/>
          </w:tcPr>
          <w:p w14:paraId="3B279BFB" w14:textId="39FBADC5" w:rsidR="00C0471E" w:rsidRPr="0045477D" w:rsidRDefault="0005794A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05794A">
              <w:rPr>
                <w:rFonts w:cs="Arial"/>
                <w:sz w:val="16"/>
                <w:szCs w:val="16"/>
              </w:rPr>
              <w:t>OI.02.11.62</w:t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="00C0471E" w:rsidRPr="004470C7">
              <w:rPr>
                <w:rFonts w:cs="Arial"/>
                <w:sz w:val="16"/>
                <w:szCs w:val="16"/>
              </w:rPr>
              <w:t xml:space="preserve">rosječna ostvarena godišnja ocjena zadovoljstva putnika pruženom uslugom </w:t>
            </w:r>
            <w:r>
              <w:rPr>
                <w:rFonts w:cs="Arial"/>
                <w:sz w:val="16"/>
                <w:szCs w:val="16"/>
              </w:rPr>
              <w:t xml:space="preserve">željezničkog </w:t>
            </w:r>
            <w:r w:rsidR="00C0471E" w:rsidRPr="004470C7">
              <w:rPr>
                <w:rFonts w:cs="Arial"/>
                <w:sz w:val="16"/>
                <w:szCs w:val="16"/>
              </w:rPr>
              <w:t>prijevoza (1-5)</w:t>
            </w:r>
          </w:p>
        </w:tc>
        <w:tc>
          <w:tcPr>
            <w:tcW w:w="879" w:type="pct"/>
            <w:vAlign w:val="center"/>
          </w:tcPr>
          <w:p w14:paraId="4FF35613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6" w:type="pct"/>
            <w:vAlign w:val="center"/>
          </w:tcPr>
          <w:p w14:paraId="4539EC3F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17" w:type="pct"/>
            <w:vAlign w:val="center"/>
          </w:tcPr>
          <w:p w14:paraId="5A290274" w14:textId="77777777" w:rsidR="00C0471E" w:rsidRPr="0045477D" w:rsidRDefault="00C0471E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HŽPP</w:t>
            </w:r>
          </w:p>
        </w:tc>
      </w:tr>
      <w:tr w:rsidR="00C0471E" w:rsidRPr="0045477D" w14:paraId="557D060D" w14:textId="77777777" w:rsidTr="00A65EE6">
        <w:trPr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pct"/>
            <w:vMerge/>
            <w:vAlign w:val="center"/>
          </w:tcPr>
          <w:p w14:paraId="031A9326" w14:textId="77777777" w:rsidR="00C0471E" w:rsidRPr="0045477D" w:rsidRDefault="00C0471E" w:rsidP="00AA459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Merge/>
            <w:vAlign w:val="center"/>
          </w:tcPr>
          <w:p w14:paraId="2D8BD1AD" w14:textId="77777777" w:rsidR="00C0471E" w:rsidRPr="0045477D" w:rsidRDefault="00C0471E" w:rsidP="00AA4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3" w:type="pct"/>
            <w:vAlign w:val="center"/>
          </w:tcPr>
          <w:p w14:paraId="67F7AE84" w14:textId="0B7E5A48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OI.02.11.04</w:t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7B5DFD">
              <w:rPr>
                <w:rFonts w:cs="Arial"/>
                <w:sz w:val="16"/>
                <w:szCs w:val="16"/>
              </w:rPr>
              <w:t xml:space="preserve">oličina robe u </w:t>
            </w:r>
            <w:proofErr w:type="spellStart"/>
            <w:r w:rsidRPr="007B5DFD">
              <w:rPr>
                <w:rFonts w:cs="Arial"/>
                <w:sz w:val="16"/>
                <w:szCs w:val="16"/>
              </w:rPr>
              <w:t>intermodalnim</w:t>
            </w:r>
            <w:proofErr w:type="spellEnd"/>
            <w:r w:rsidRPr="007B5DFD">
              <w:rPr>
                <w:rFonts w:cs="Arial"/>
                <w:sz w:val="16"/>
                <w:szCs w:val="16"/>
              </w:rPr>
              <w:t xml:space="preserve"> prijevoznim jedinicama u željezničkom prijevozu prema vrsti prijevoza i vrsti prijevozne jedinice (mil</w:t>
            </w:r>
            <w:r>
              <w:rPr>
                <w:rFonts w:cs="Arial"/>
                <w:sz w:val="16"/>
                <w:szCs w:val="16"/>
              </w:rPr>
              <w:t>.</w:t>
            </w:r>
            <w:r w:rsidRPr="007B5DFD">
              <w:rPr>
                <w:rFonts w:cs="Arial"/>
                <w:sz w:val="16"/>
                <w:szCs w:val="16"/>
              </w:rPr>
              <w:t xml:space="preserve"> t)</w:t>
            </w:r>
          </w:p>
        </w:tc>
        <w:tc>
          <w:tcPr>
            <w:tcW w:w="879" w:type="pct"/>
            <w:vAlign w:val="center"/>
          </w:tcPr>
          <w:p w14:paraId="21C17FE8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 xml:space="preserve">15,2 </w:t>
            </w:r>
          </w:p>
          <w:p w14:paraId="17549C7C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(2021)</w:t>
            </w:r>
          </w:p>
        </w:tc>
        <w:tc>
          <w:tcPr>
            <w:tcW w:w="676" w:type="pct"/>
            <w:vAlign w:val="center"/>
          </w:tcPr>
          <w:p w14:paraId="2403F32D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517" w:type="pct"/>
            <w:vAlign w:val="center"/>
          </w:tcPr>
          <w:p w14:paraId="4694CCAE" w14:textId="77777777" w:rsidR="00C0471E" w:rsidRPr="0045477D" w:rsidRDefault="00C0471E" w:rsidP="00AA45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DZS</w:t>
            </w:r>
          </w:p>
        </w:tc>
      </w:tr>
      <w:bookmarkEnd w:id="66"/>
    </w:tbl>
    <w:p w14:paraId="0B61B575" w14:textId="77777777" w:rsidR="00EE6FE9" w:rsidRDefault="00EE6FE9" w:rsidP="00001FEA">
      <w:pPr>
        <w:spacing w:line="240" w:lineRule="auto"/>
        <w:jc w:val="left"/>
      </w:pPr>
      <w:r>
        <w:br w:type="page"/>
      </w:r>
    </w:p>
    <w:p w14:paraId="3E7B08BE" w14:textId="77777777" w:rsidR="009325C3" w:rsidRPr="008943DB" w:rsidRDefault="009325C3" w:rsidP="00001FEA">
      <w:pPr>
        <w:pStyle w:val="Tijeloteksta"/>
      </w:pPr>
      <w:bookmarkStart w:id="67" w:name="_Toc109453556"/>
      <w:bookmarkStart w:id="68" w:name="_Toc122536068"/>
      <w:r w:rsidRPr="008943DB">
        <w:lastRenderedPageBreak/>
        <w:t xml:space="preserve">Tablica </w:t>
      </w:r>
      <w:r w:rsidRPr="008943DB">
        <w:fldChar w:fldCharType="begin"/>
      </w:r>
      <w:r w:rsidRPr="008943DB">
        <w:instrText xml:space="preserve"> SEQ Tablica \* ARABIC </w:instrText>
      </w:r>
      <w:r w:rsidRPr="008943DB">
        <w:fldChar w:fldCharType="separate"/>
      </w:r>
      <w:r w:rsidR="00CB667E">
        <w:rPr>
          <w:noProof/>
        </w:rPr>
        <w:t>4</w:t>
      </w:r>
      <w:r w:rsidRPr="008943DB">
        <w:fldChar w:fldCharType="end"/>
      </w:r>
      <w:r w:rsidR="003D7286">
        <w:t>:</w:t>
      </w:r>
      <w:r w:rsidRPr="008943DB">
        <w:t xml:space="preserve"> </w:t>
      </w:r>
      <w:bookmarkEnd w:id="67"/>
      <w:r w:rsidR="00CB667E" w:rsidRPr="00CB667E">
        <w:t>Ciljne vrijednosti pokazatelj ishoda po godinama</w:t>
      </w:r>
      <w:bookmarkEnd w:id="68"/>
    </w:p>
    <w:tbl>
      <w:tblPr>
        <w:tblStyle w:val="Svijetlatablicareetke-isticanje1"/>
        <w:tblW w:w="5000" w:type="pct"/>
        <w:jc w:val="center"/>
        <w:tblLook w:val="04A0" w:firstRow="1" w:lastRow="0" w:firstColumn="1" w:lastColumn="0" w:noHBand="0" w:noVBand="1"/>
      </w:tblPr>
      <w:tblGrid>
        <w:gridCol w:w="1991"/>
        <w:gridCol w:w="679"/>
        <w:gridCol w:w="678"/>
        <w:gridCol w:w="678"/>
        <w:gridCol w:w="678"/>
        <w:gridCol w:w="678"/>
        <w:gridCol w:w="678"/>
        <w:gridCol w:w="678"/>
        <w:gridCol w:w="678"/>
        <w:gridCol w:w="678"/>
        <w:gridCol w:w="966"/>
      </w:tblGrid>
      <w:tr w:rsidR="0045477D" w:rsidRPr="0045477D" w14:paraId="0DE61803" w14:textId="77777777" w:rsidTr="00B64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  <w:hideMark/>
          </w:tcPr>
          <w:p w14:paraId="110B468E" w14:textId="77777777" w:rsidR="009325C3" w:rsidRPr="0045477D" w:rsidRDefault="003D7286" w:rsidP="00001FEA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9325C3" w:rsidRPr="0045477D">
              <w:rPr>
                <w:rFonts w:cs="Arial"/>
                <w:sz w:val="16"/>
                <w:szCs w:val="16"/>
              </w:rPr>
              <w:t>okazatelj ishoda</w:t>
            </w:r>
          </w:p>
        </w:tc>
        <w:tc>
          <w:tcPr>
            <w:tcW w:w="374" w:type="pct"/>
            <w:vAlign w:val="center"/>
          </w:tcPr>
          <w:p w14:paraId="789E6DC7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2022.</w:t>
            </w:r>
          </w:p>
        </w:tc>
        <w:tc>
          <w:tcPr>
            <w:tcW w:w="374" w:type="pct"/>
            <w:vAlign w:val="center"/>
          </w:tcPr>
          <w:p w14:paraId="70E67456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2023.</w:t>
            </w:r>
          </w:p>
        </w:tc>
        <w:tc>
          <w:tcPr>
            <w:tcW w:w="374" w:type="pct"/>
            <w:vAlign w:val="center"/>
          </w:tcPr>
          <w:p w14:paraId="5409E99F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2024.</w:t>
            </w:r>
          </w:p>
        </w:tc>
        <w:tc>
          <w:tcPr>
            <w:tcW w:w="374" w:type="pct"/>
            <w:vAlign w:val="center"/>
          </w:tcPr>
          <w:p w14:paraId="1B5465A3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2025.</w:t>
            </w:r>
          </w:p>
        </w:tc>
        <w:tc>
          <w:tcPr>
            <w:tcW w:w="374" w:type="pct"/>
            <w:vAlign w:val="center"/>
          </w:tcPr>
          <w:p w14:paraId="0FCBCEC6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2026.</w:t>
            </w:r>
          </w:p>
        </w:tc>
        <w:tc>
          <w:tcPr>
            <w:tcW w:w="374" w:type="pct"/>
            <w:vAlign w:val="center"/>
          </w:tcPr>
          <w:p w14:paraId="18C82A05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2027.</w:t>
            </w:r>
          </w:p>
        </w:tc>
        <w:tc>
          <w:tcPr>
            <w:tcW w:w="374" w:type="pct"/>
            <w:vAlign w:val="center"/>
          </w:tcPr>
          <w:p w14:paraId="5200BC1C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2028.</w:t>
            </w:r>
          </w:p>
        </w:tc>
        <w:tc>
          <w:tcPr>
            <w:tcW w:w="374" w:type="pct"/>
            <w:vAlign w:val="center"/>
          </w:tcPr>
          <w:p w14:paraId="013D6427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2029.</w:t>
            </w:r>
          </w:p>
        </w:tc>
        <w:tc>
          <w:tcPr>
            <w:tcW w:w="374" w:type="pct"/>
            <w:vAlign w:val="center"/>
          </w:tcPr>
          <w:p w14:paraId="2B37E7D0" w14:textId="77777777" w:rsidR="009325C3" w:rsidRPr="0045477D" w:rsidRDefault="009325C3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2030.</w:t>
            </w:r>
          </w:p>
        </w:tc>
        <w:tc>
          <w:tcPr>
            <w:tcW w:w="533" w:type="pct"/>
            <w:vAlign w:val="center"/>
          </w:tcPr>
          <w:p w14:paraId="1AC4E085" w14:textId="77777777" w:rsidR="009325C3" w:rsidRPr="0045477D" w:rsidRDefault="003D7286" w:rsidP="00001F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325C3" w:rsidRPr="0045477D">
              <w:rPr>
                <w:rFonts w:cs="Arial"/>
                <w:sz w:val="16"/>
                <w:szCs w:val="16"/>
              </w:rPr>
              <w:t>zvor podataka</w:t>
            </w:r>
          </w:p>
        </w:tc>
      </w:tr>
      <w:tr w:rsidR="00B64619" w:rsidRPr="0045477D" w14:paraId="2C1703E4" w14:textId="77777777" w:rsidTr="00B6461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4F33E412" w14:textId="77777777" w:rsidR="00B64619" w:rsidRPr="00AA4593" w:rsidRDefault="003D7286" w:rsidP="00B64619">
            <w:pPr>
              <w:jc w:val="lef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1B5F60" w:rsidRPr="001B5F60">
              <w:rPr>
                <w:rFonts w:cs="Arial"/>
                <w:sz w:val="16"/>
                <w:szCs w:val="16"/>
              </w:rPr>
              <w:t>ubvencij</w:t>
            </w:r>
            <w:r w:rsidR="0018174B">
              <w:rPr>
                <w:rFonts w:cs="Arial"/>
                <w:sz w:val="16"/>
                <w:szCs w:val="16"/>
              </w:rPr>
              <w:t>a</w:t>
            </w:r>
            <w:r w:rsidR="001B5F60" w:rsidRPr="001B5F60">
              <w:rPr>
                <w:rFonts w:cs="Arial"/>
                <w:sz w:val="16"/>
                <w:szCs w:val="16"/>
              </w:rPr>
              <w:t xml:space="preserve"> po vlak</w:t>
            </w:r>
            <w:r>
              <w:rPr>
                <w:rFonts w:cs="Arial"/>
                <w:sz w:val="16"/>
                <w:szCs w:val="16"/>
              </w:rPr>
              <w:t>-</w:t>
            </w:r>
            <w:r w:rsidR="001B5F60" w:rsidRPr="001B5F60">
              <w:rPr>
                <w:rFonts w:cs="Arial"/>
                <w:sz w:val="16"/>
                <w:szCs w:val="16"/>
              </w:rPr>
              <w:t xml:space="preserve">km </w:t>
            </w:r>
            <w:r w:rsidR="0018174B">
              <w:rPr>
                <w:rFonts w:cs="Arial"/>
                <w:sz w:val="16"/>
                <w:szCs w:val="16"/>
              </w:rPr>
              <w:t xml:space="preserve">u javnom putničkom prijevozu </w:t>
            </w:r>
            <w:r w:rsidR="001B5F60" w:rsidRPr="001B5F60">
              <w:rPr>
                <w:rFonts w:cs="Arial"/>
                <w:sz w:val="16"/>
                <w:szCs w:val="16"/>
              </w:rPr>
              <w:t>(</w:t>
            </w:r>
            <w:r w:rsidRPr="00FC1DFA">
              <w:rPr>
                <w:rFonts w:cs="Arial"/>
                <w:sz w:val="16"/>
                <w:szCs w:val="16"/>
              </w:rPr>
              <w:t>EUR</w:t>
            </w:r>
            <w:r w:rsidR="001B5F60" w:rsidRPr="001B5F6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74" w:type="pct"/>
            <w:vAlign w:val="center"/>
          </w:tcPr>
          <w:p w14:paraId="14C178D8" w14:textId="77777777" w:rsidR="00B64619" w:rsidRPr="00B64619" w:rsidRDefault="001B5F60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4,56</w:t>
            </w:r>
          </w:p>
        </w:tc>
        <w:tc>
          <w:tcPr>
            <w:tcW w:w="374" w:type="pct"/>
            <w:vAlign w:val="center"/>
          </w:tcPr>
          <w:p w14:paraId="5D45C0A5" w14:textId="77777777" w:rsidR="00B64619" w:rsidRPr="00B64619" w:rsidRDefault="001B5F60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374" w:type="pct"/>
            <w:vAlign w:val="center"/>
          </w:tcPr>
          <w:p w14:paraId="57FC7366" w14:textId="77777777" w:rsidR="00B64619" w:rsidRPr="00B64619" w:rsidRDefault="001B5F60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374" w:type="pct"/>
            <w:vAlign w:val="center"/>
          </w:tcPr>
          <w:p w14:paraId="0AE3FAC2" w14:textId="77777777" w:rsidR="00B64619" w:rsidRPr="00B64619" w:rsidRDefault="001B5F60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374" w:type="pct"/>
            <w:vAlign w:val="center"/>
          </w:tcPr>
          <w:p w14:paraId="67178AC3" w14:textId="77777777" w:rsidR="00B64619" w:rsidRPr="00B64619" w:rsidRDefault="001B5F60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</w:t>
            </w:r>
            <w:r w:rsidR="0018174B"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4" w:type="pct"/>
            <w:vAlign w:val="center"/>
          </w:tcPr>
          <w:p w14:paraId="0D335414" w14:textId="77777777" w:rsidR="00B64619" w:rsidRPr="00B64619" w:rsidRDefault="0018174B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374" w:type="pct"/>
            <w:vAlign w:val="center"/>
          </w:tcPr>
          <w:p w14:paraId="052D32B3" w14:textId="77777777" w:rsidR="00B64619" w:rsidRPr="00B64619" w:rsidRDefault="0018174B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374" w:type="pct"/>
            <w:vAlign w:val="center"/>
          </w:tcPr>
          <w:p w14:paraId="31FEAFAE" w14:textId="77777777" w:rsidR="00B64619" w:rsidRPr="00B64619" w:rsidRDefault="0018174B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374" w:type="pct"/>
            <w:vAlign w:val="center"/>
          </w:tcPr>
          <w:p w14:paraId="12A677F6" w14:textId="77777777" w:rsidR="00B64619" w:rsidRPr="00B64619" w:rsidRDefault="0018174B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3" w:type="pct"/>
            <w:vAlign w:val="center"/>
          </w:tcPr>
          <w:p w14:paraId="1754D25D" w14:textId="77777777" w:rsidR="00B64619" w:rsidRPr="0045477D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HŽPP</w:t>
            </w:r>
          </w:p>
        </w:tc>
      </w:tr>
      <w:tr w:rsidR="00EC2983" w:rsidRPr="0045477D" w14:paraId="7573F1F1" w14:textId="77777777" w:rsidTr="00B6461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09FD0DF5" w14:textId="77777777" w:rsidR="00EC2983" w:rsidRPr="00FC1DFA" w:rsidRDefault="003D7286" w:rsidP="00EC2983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C2983" w:rsidRPr="00FC1DFA">
              <w:rPr>
                <w:rFonts w:cs="Arial"/>
                <w:sz w:val="16"/>
                <w:szCs w:val="16"/>
              </w:rPr>
              <w:t>znos prihoda po zaposlenom u javnim željezničkim društvima (EUR)</w:t>
            </w:r>
          </w:p>
        </w:tc>
        <w:tc>
          <w:tcPr>
            <w:tcW w:w="374" w:type="pct"/>
            <w:vAlign w:val="center"/>
          </w:tcPr>
          <w:p w14:paraId="4C0D3876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42.577</w:t>
            </w:r>
          </w:p>
        </w:tc>
        <w:tc>
          <w:tcPr>
            <w:tcW w:w="374" w:type="pct"/>
            <w:vAlign w:val="center"/>
          </w:tcPr>
          <w:p w14:paraId="323BD325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44.870</w:t>
            </w:r>
          </w:p>
        </w:tc>
        <w:tc>
          <w:tcPr>
            <w:tcW w:w="374" w:type="pct"/>
            <w:vAlign w:val="center"/>
          </w:tcPr>
          <w:p w14:paraId="3C2008D6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47.163</w:t>
            </w:r>
          </w:p>
        </w:tc>
        <w:tc>
          <w:tcPr>
            <w:tcW w:w="374" w:type="pct"/>
            <w:vAlign w:val="center"/>
          </w:tcPr>
          <w:p w14:paraId="33FFBDC7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49.456</w:t>
            </w:r>
          </w:p>
        </w:tc>
        <w:tc>
          <w:tcPr>
            <w:tcW w:w="374" w:type="pct"/>
            <w:vAlign w:val="center"/>
          </w:tcPr>
          <w:p w14:paraId="7520526F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51.748</w:t>
            </w:r>
          </w:p>
        </w:tc>
        <w:tc>
          <w:tcPr>
            <w:tcW w:w="374" w:type="pct"/>
            <w:vAlign w:val="center"/>
          </w:tcPr>
          <w:p w14:paraId="74074FAD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54.041</w:t>
            </w:r>
          </w:p>
        </w:tc>
        <w:tc>
          <w:tcPr>
            <w:tcW w:w="374" w:type="pct"/>
            <w:vAlign w:val="center"/>
          </w:tcPr>
          <w:p w14:paraId="57889AA7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56.334</w:t>
            </w:r>
          </w:p>
        </w:tc>
        <w:tc>
          <w:tcPr>
            <w:tcW w:w="374" w:type="pct"/>
            <w:vAlign w:val="center"/>
          </w:tcPr>
          <w:p w14:paraId="2EA1EDC8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58.627</w:t>
            </w:r>
          </w:p>
        </w:tc>
        <w:tc>
          <w:tcPr>
            <w:tcW w:w="374" w:type="pct"/>
            <w:vAlign w:val="center"/>
          </w:tcPr>
          <w:p w14:paraId="152BE7D4" w14:textId="77777777" w:rsidR="00EC2983" w:rsidRPr="00B64619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B64619">
              <w:rPr>
                <w:rFonts w:cs="Arial"/>
                <w:color w:val="000000"/>
                <w:sz w:val="14"/>
                <w:szCs w:val="14"/>
              </w:rPr>
              <w:t>60.920</w:t>
            </w:r>
          </w:p>
        </w:tc>
        <w:tc>
          <w:tcPr>
            <w:tcW w:w="533" w:type="pct"/>
            <w:vAlign w:val="center"/>
          </w:tcPr>
          <w:p w14:paraId="50695F25" w14:textId="77777777" w:rsidR="00EC2983" w:rsidRPr="00FC1DFA" w:rsidRDefault="00EC2983" w:rsidP="00EC29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FC1DFA">
              <w:rPr>
                <w:rFonts w:cs="Arial"/>
                <w:color w:val="000000"/>
                <w:sz w:val="14"/>
                <w:szCs w:val="14"/>
              </w:rPr>
              <w:t>MMPI</w:t>
            </w:r>
          </w:p>
        </w:tc>
      </w:tr>
      <w:tr w:rsidR="00B64619" w:rsidRPr="0045477D" w14:paraId="426E54A1" w14:textId="77777777" w:rsidTr="00B64619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7C15B324" w14:textId="77777777" w:rsidR="00B64619" w:rsidRPr="00FC1DFA" w:rsidRDefault="003D7286" w:rsidP="00B64619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</w:t>
            </w:r>
            <w:r w:rsidR="00B64619" w:rsidRPr="00FC1DFA">
              <w:rPr>
                <w:rFonts w:cs="Arial"/>
                <w:sz w:val="16"/>
                <w:szCs w:val="16"/>
              </w:rPr>
              <w:t>dio visokoobrazovanih u ukupnom broju zaposlenih u javnim željezničkim društvima (%)</w:t>
            </w:r>
          </w:p>
        </w:tc>
        <w:tc>
          <w:tcPr>
            <w:tcW w:w="374" w:type="pct"/>
            <w:vAlign w:val="center"/>
          </w:tcPr>
          <w:p w14:paraId="67867160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374" w:type="pct"/>
            <w:vAlign w:val="center"/>
          </w:tcPr>
          <w:p w14:paraId="2BB84F1C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374" w:type="pct"/>
            <w:vAlign w:val="center"/>
          </w:tcPr>
          <w:p w14:paraId="58BFB9D7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74" w:type="pct"/>
            <w:vAlign w:val="center"/>
          </w:tcPr>
          <w:p w14:paraId="4E4950AF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74" w:type="pct"/>
            <w:vAlign w:val="center"/>
          </w:tcPr>
          <w:p w14:paraId="6DA932C5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374" w:type="pct"/>
            <w:vAlign w:val="center"/>
          </w:tcPr>
          <w:p w14:paraId="0F0DB0AC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374" w:type="pct"/>
            <w:vAlign w:val="center"/>
          </w:tcPr>
          <w:p w14:paraId="1B3F68C4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374" w:type="pct"/>
            <w:vAlign w:val="center"/>
          </w:tcPr>
          <w:p w14:paraId="6AA2D61B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374" w:type="pct"/>
            <w:vAlign w:val="center"/>
          </w:tcPr>
          <w:p w14:paraId="03FCBEC7" w14:textId="77777777" w:rsidR="00B64619" w:rsidRPr="00B64619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highlight w:val="yellow"/>
              </w:rPr>
            </w:pPr>
            <w:r w:rsidRPr="00B64619">
              <w:rPr>
                <w:rFonts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533" w:type="pct"/>
            <w:vAlign w:val="center"/>
          </w:tcPr>
          <w:p w14:paraId="122F7A2A" w14:textId="77777777" w:rsidR="00B64619" w:rsidRPr="00FC1DFA" w:rsidRDefault="00B64619" w:rsidP="00B6461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C1DFA">
              <w:rPr>
                <w:rFonts w:cs="Arial"/>
                <w:color w:val="000000"/>
                <w:sz w:val="14"/>
                <w:szCs w:val="14"/>
              </w:rPr>
              <w:t>MMPI</w:t>
            </w:r>
          </w:p>
        </w:tc>
      </w:tr>
      <w:tr w:rsidR="0045477D" w:rsidRPr="0045477D" w14:paraId="58039E3F" w14:textId="77777777" w:rsidTr="00B64619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1DB1873F" w14:textId="77777777" w:rsidR="009325C3" w:rsidRPr="0045477D" w:rsidRDefault="003D7286" w:rsidP="003F4BC6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ž</w:t>
            </w:r>
            <w:r w:rsidR="009325C3" w:rsidRPr="0045477D">
              <w:rPr>
                <w:rFonts w:cs="Arial"/>
                <w:sz w:val="16"/>
                <w:szCs w:val="16"/>
              </w:rPr>
              <w:t xml:space="preserve">eljeznički promet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45477D">
              <w:rPr>
                <w:rFonts w:cs="Arial"/>
                <w:sz w:val="16"/>
                <w:szCs w:val="16"/>
              </w:rPr>
              <w:t xml:space="preserve"> </w:t>
            </w:r>
            <w:r w:rsidR="009325C3" w:rsidRPr="0045477D">
              <w:rPr>
                <w:rFonts w:cs="Arial"/>
                <w:sz w:val="16"/>
                <w:szCs w:val="16"/>
              </w:rPr>
              <w:t>ukupni godišnji prijevoz putnika</w:t>
            </w:r>
            <w:r w:rsidR="00C70535">
              <w:rPr>
                <w:rFonts w:cs="Arial"/>
                <w:sz w:val="16"/>
                <w:szCs w:val="16"/>
              </w:rPr>
              <w:t xml:space="preserve"> (mil</w:t>
            </w:r>
            <w:r>
              <w:rPr>
                <w:rFonts w:cs="Arial"/>
                <w:sz w:val="16"/>
                <w:szCs w:val="16"/>
              </w:rPr>
              <w:t>.</w:t>
            </w:r>
            <w:r w:rsidR="00C70535">
              <w:rPr>
                <w:rFonts w:cs="Arial"/>
                <w:sz w:val="16"/>
                <w:szCs w:val="16"/>
              </w:rPr>
              <w:t>)</w:t>
            </w:r>
            <w:r w:rsidR="009325C3" w:rsidRPr="0045477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14:paraId="3E9E3ECC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374" w:type="pct"/>
            <w:vAlign w:val="center"/>
          </w:tcPr>
          <w:p w14:paraId="57DBF9D1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74" w:type="pct"/>
            <w:vAlign w:val="center"/>
          </w:tcPr>
          <w:p w14:paraId="2D0B9B5F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374" w:type="pct"/>
            <w:vAlign w:val="center"/>
          </w:tcPr>
          <w:p w14:paraId="31545A30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14,5</w:t>
            </w:r>
          </w:p>
        </w:tc>
        <w:tc>
          <w:tcPr>
            <w:tcW w:w="374" w:type="pct"/>
            <w:vAlign w:val="center"/>
          </w:tcPr>
          <w:p w14:paraId="0C14B2A4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74" w:type="pct"/>
            <w:vAlign w:val="center"/>
          </w:tcPr>
          <w:p w14:paraId="1115F0D5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74" w:type="pct"/>
            <w:vAlign w:val="center"/>
          </w:tcPr>
          <w:p w14:paraId="11C4D826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74" w:type="pct"/>
            <w:vAlign w:val="center"/>
          </w:tcPr>
          <w:p w14:paraId="47A4E932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74" w:type="pct"/>
            <w:vAlign w:val="center"/>
          </w:tcPr>
          <w:p w14:paraId="1C92F045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3" w:type="pct"/>
            <w:vAlign w:val="center"/>
          </w:tcPr>
          <w:p w14:paraId="4C183705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MMPI</w:t>
            </w:r>
          </w:p>
        </w:tc>
      </w:tr>
      <w:tr w:rsidR="0045477D" w:rsidRPr="0045477D" w14:paraId="48AFFDA2" w14:textId="77777777" w:rsidTr="00B64619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1DDAB227" w14:textId="77777777" w:rsidR="009325C3" w:rsidRPr="0045477D" w:rsidRDefault="003D7286" w:rsidP="00001FEA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</w:t>
            </w:r>
            <w:r w:rsidR="009325C3" w:rsidRPr="0045477D">
              <w:rPr>
                <w:rFonts w:cs="Arial"/>
                <w:sz w:val="16"/>
                <w:szCs w:val="16"/>
              </w:rPr>
              <w:t xml:space="preserve">dio integriranog prijevoza putnika željeznicom u ukupnom </w:t>
            </w:r>
            <w:r>
              <w:rPr>
                <w:rFonts w:cs="Arial"/>
                <w:sz w:val="16"/>
                <w:szCs w:val="16"/>
              </w:rPr>
              <w:t xml:space="preserve">prijevozu </w:t>
            </w:r>
            <w:r w:rsidR="00C70535">
              <w:rPr>
                <w:rFonts w:cs="Arial"/>
                <w:sz w:val="16"/>
                <w:szCs w:val="16"/>
              </w:rPr>
              <w:t>(</w:t>
            </w:r>
            <w:r w:rsidR="009325C3" w:rsidRPr="0045477D">
              <w:rPr>
                <w:rFonts w:cs="Arial"/>
                <w:sz w:val="16"/>
                <w:szCs w:val="16"/>
              </w:rPr>
              <w:t>%</w:t>
            </w:r>
            <w:r w:rsidR="00C7053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74" w:type="pct"/>
            <w:vAlign w:val="center"/>
          </w:tcPr>
          <w:p w14:paraId="69F13EC8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center"/>
          </w:tcPr>
          <w:p w14:paraId="67027CD5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center"/>
          </w:tcPr>
          <w:p w14:paraId="657BF315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4" w:type="pct"/>
            <w:vAlign w:val="center"/>
          </w:tcPr>
          <w:p w14:paraId="5F29688F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4" w:type="pct"/>
            <w:vAlign w:val="center"/>
          </w:tcPr>
          <w:p w14:paraId="529D206C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4" w:type="pct"/>
            <w:vAlign w:val="center"/>
          </w:tcPr>
          <w:p w14:paraId="70F1AD57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74" w:type="pct"/>
            <w:vAlign w:val="center"/>
          </w:tcPr>
          <w:p w14:paraId="0293E835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4" w:type="pct"/>
            <w:vAlign w:val="center"/>
          </w:tcPr>
          <w:p w14:paraId="7F3FE7A2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74" w:type="pct"/>
            <w:vAlign w:val="center"/>
          </w:tcPr>
          <w:p w14:paraId="51A61C67" w14:textId="77777777" w:rsidR="009325C3" w:rsidRPr="0045477D" w:rsidRDefault="009325C3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3" w:type="pct"/>
            <w:vAlign w:val="center"/>
          </w:tcPr>
          <w:p w14:paraId="6C9C7135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MMPI</w:t>
            </w:r>
          </w:p>
        </w:tc>
      </w:tr>
      <w:tr w:rsidR="0045477D" w:rsidRPr="0045477D" w14:paraId="401701BB" w14:textId="77777777" w:rsidTr="00B64619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22A2019A" w14:textId="549F2940" w:rsidR="009325C3" w:rsidRPr="0045477D" w:rsidRDefault="003D7286" w:rsidP="00001FEA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7B5DFD" w:rsidRPr="007B5DFD">
              <w:rPr>
                <w:rFonts w:cs="Arial"/>
                <w:sz w:val="16"/>
                <w:szCs w:val="16"/>
              </w:rPr>
              <w:t xml:space="preserve">rosječna ostvarena godišnja ocjena zadovoljstva putnika pruženom uslugom </w:t>
            </w:r>
            <w:r w:rsidR="0005794A">
              <w:rPr>
                <w:rFonts w:cs="Arial"/>
                <w:sz w:val="16"/>
                <w:szCs w:val="16"/>
              </w:rPr>
              <w:t xml:space="preserve">željezničkog </w:t>
            </w:r>
            <w:r w:rsidR="007B5DFD" w:rsidRPr="007B5DFD">
              <w:rPr>
                <w:rFonts w:cs="Arial"/>
                <w:sz w:val="16"/>
                <w:szCs w:val="16"/>
              </w:rPr>
              <w:t>prijevoza (1-5)</w:t>
            </w:r>
            <w:r w:rsidR="007B5DF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Align w:val="center"/>
          </w:tcPr>
          <w:p w14:paraId="3C242AF1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center"/>
          </w:tcPr>
          <w:p w14:paraId="529029A7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4" w:type="pct"/>
            <w:vAlign w:val="center"/>
          </w:tcPr>
          <w:p w14:paraId="7F9ADE28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374" w:type="pct"/>
            <w:vAlign w:val="center"/>
          </w:tcPr>
          <w:p w14:paraId="73499359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374" w:type="pct"/>
            <w:vAlign w:val="center"/>
          </w:tcPr>
          <w:p w14:paraId="68A6B00C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center"/>
          </w:tcPr>
          <w:p w14:paraId="5DBC99CB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center"/>
          </w:tcPr>
          <w:p w14:paraId="2764EDFE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374" w:type="pct"/>
            <w:vAlign w:val="center"/>
          </w:tcPr>
          <w:p w14:paraId="660AFCAB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374" w:type="pct"/>
            <w:vAlign w:val="center"/>
          </w:tcPr>
          <w:p w14:paraId="4E8C0C54" w14:textId="77777777" w:rsidR="009325C3" w:rsidRPr="0045477D" w:rsidRDefault="007B5DF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533" w:type="pct"/>
            <w:vAlign w:val="center"/>
          </w:tcPr>
          <w:p w14:paraId="6DC1D50B" w14:textId="77777777" w:rsidR="009325C3" w:rsidRPr="0045477D" w:rsidRDefault="0045477D" w:rsidP="00001F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45477D">
              <w:rPr>
                <w:rFonts w:cs="Arial"/>
                <w:sz w:val="16"/>
                <w:szCs w:val="16"/>
              </w:rPr>
              <w:t>HŽPP</w:t>
            </w:r>
          </w:p>
        </w:tc>
      </w:tr>
      <w:tr w:rsidR="00B436E9" w:rsidRPr="0045477D" w14:paraId="54608931" w14:textId="77777777" w:rsidTr="00B64619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pct"/>
            <w:vAlign w:val="center"/>
          </w:tcPr>
          <w:p w14:paraId="4DAA2ACA" w14:textId="77777777" w:rsidR="00B436E9" w:rsidRPr="0045477D" w:rsidRDefault="003D7286" w:rsidP="00B436E9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="00B436E9" w:rsidRPr="00B436E9">
              <w:rPr>
                <w:rFonts w:cs="Arial"/>
                <w:sz w:val="16"/>
                <w:szCs w:val="16"/>
              </w:rPr>
              <w:t xml:space="preserve">oličina robe u </w:t>
            </w:r>
            <w:proofErr w:type="spellStart"/>
            <w:r w:rsidR="00B436E9" w:rsidRPr="00B436E9">
              <w:rPr>
                <w:rFonts w:cs="Arial"/>
                <w:sz w:val="16"/>
                <w:szCs w:val="16"/>
              </w:rPr>
              <w:t>intermodalnim</w:t>
            </w:r>
            <w:proofErr w:type="spellEnd"/>
            <w:r w:rsidR="00B436E9" w:rsidRPr="00B436E9">
              <w:rPr>
                <w:rFonts w:cs="Arial"/>
                <w:sz w:val="16"/>
                <w:szCs w:val="16"/>
              </w:rPr>
              <w:t xml:space="preserve"> prijevoznim jedinicama u željezničkom prijevozu prema vrsti prijevoza i vrsti prijevozne jedinice (mil</w:t>
            </w:r>
            <w:r>
              <w:rPr>
                <w:rFonts w:cs="Arial"/>
                <w:sz w:val="16"/>
                <w:szCs w:val="16"/>
              </w:rPr>
              <w:t>.</w:t>
            </w:r>
            <w:r w:rsidR="00B436E9" w:rsidRPr="00B436E9">
              <w:rPr>
                <w:rFonts w:cs="Arial"/>
                <w:sz w:val="16"/>
                <w:szCs w:val="16"/>
              </w:rPr>
              <w:t xml:space="preserve"> t)</w:t>
            </w:r>
          </w:p>
        </w:tc>
        <w:tc>
          <w:tcPr>
            <w:tcW w:w="374" w:type="pct"/>
            <w:vAlign w:val="center"/>
          </w:tcPr>
          <w:p w14:paraId="143868A5" w14:textId="77777777" w:rsidR="00B436E9" w:rsidRPr="0045477D" w:rsidRDefault="00B436E9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1,95 </w:t>
            </w:r>
          </w:p>
        </w:tc>
        <w:tc>
          <w:tcPr>
            <w:tcW w:w="374" w:type="pct"/>
            <w:vAlign w:val="center"/>
          </w:tcPr>
          <w:p w14:paraId="53132C93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2,05</w:t>
            </w:r>
          </w:p>
        </w:tc>
        <w:tc>
          <w:tcPr>
            <w:tcW w:w="374" w:type="pct"/>
            <w:vAlign w:val="center"/>
          </w:tcPr>
          <w:p w14:paraId="21A1EACE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2,25</w:t>
            </w:r>
          </w:p>
        </w:tc>
        <w:tc>
          <w:tcPr>
            <w:tcW w:w="374" w:type="pct"/>
            <w:vAlign w:val="center"/>
          </w:tcPr>
          <w:p w14:paraId="5BB9ADC9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374" w:type="pct"/>
            <w:vAlign w:val="center"/>
          </w:tcPr>
          <w:p w14:paraId="7D4CE6C3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374" w:type="pct"/>
            <w:vAlign w:val="center"/>
          </w:tcPr>
          <w:p w14:paraId="0A3DB284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4" w:type="pct"/>
            <w:vAlign w:val="center"/>
          </w:tcPr>
          <w:p w14:paraId="7BF6262D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374" w:type="pct"/>
            <w:vAlign w:val="center"/>
          </w:tcPr>
          <w:p w14:paraId="2D237D57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374" w:type="pct"/>
            <w:vAlign w:val="center"/>
          </w:tcPr>
          <w:p w14:paraId="458C4926" w14:textId="77777777" w:rsidR="00B436E9" w:rsidRPr="0045477D" w:rsidRDefault="004D1C9A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3" w:type="pct"/>
            <w:vAlign w:val="center"/>
          </w:tcPr>
          <w:p w14:paraId="31DF08C7" w14:textId="77777777" w:rsidR="00B436E9" w:rsidRPr="0045477D" w:rsidRDefault="00B436E9" w:rsidP="00B436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DZS</w:t>
            </w:r>
          </w:p>
        </w:tc>
      </w:tr>
    </w:tbl>
    <w:p w14:paraId="167C00E8" w14:textId="77777777" w:rsidR="009325C3" w:rsidRDefault="009325C3" w:rsidP="00001FEA">
      <w:pPr>
        <w:spacing w:line="240" w:lineRule="auto"/>
        <w:jc w:val="left"/>
      </w:pPr>
    </w:p>
    <w:p w14:paraId="2E3B9189" w14:textId="77777777" w:rsidR="0045477D" w:rsidRDefault="0045477D" w:rsidP="00001FEA">
      <w:pPr>
        <w:spacing w:line="240" w:lineRule="auto"/>
        <w:jc w:val="left"/>
        <w:rPr>
          <w:b/>
          <w:color w:val="00338D"/>
          <w:sz w:val="24"/>
        </w:rPr>
      </w:pPr>
      <w:r>
        <w:br w:type="page"/>
      </w:r>
    </w:p>
    <w:p w14:paraId="3E4AF2A9" w14:textId="77777777" w:rsidR="00E702EE" w:rsidRPr="00044742" w:rsidRDefault="00E702EE" w:rsidP="00001FEA">
      <w:pPr>
        <w:pStyle w:val="Naslov2"/>
        <w:ind w:left="0" w:firstLine="0"/>
      </w:pPr>
      <w:bookmarkStart w:id="69" w:name="_Toc122335629"/>
      <w:r>
        <w:lastRenderedPageBreak/>
        <w:t>Mjere provedbe posebnih ciljeva</w:t>
      </w:r>
      <w:bookmarkEnd w:id="69"/>
    </w:p>
    <w:p w14:paraId="5C4C1895" w14:textId="77777777" w:rsidR="002B1324" w:rsidRPr="002B1324" w:rsidRDefault="002B1324" w:rsidP="002B1324">
      <w:r w:rsidRPr="002B1324">
        <w:t>Mjere za provedbu posebnih ciljeva dijelimo na:</w:t>
      </w:r>
    </w:p>
    <w:p w14:paraId="6E57E823" w14:textId="77777777" w:rsidR="002B1324" w:rsidRPr="002B1324" w:rsidRDefault="002B1324" w:rsidP="00CB2946">
      <w:pPr>
        <w:pStyle w:val="Odlomakpopisa"/>
        <w:numPr>
          <w:ilvl w:val="0"/>
          <w:numId w:val="19"/>
        </w:numPr>
      </w:pPr>
      <w:r w:rsidRPr="002B1324">
        <w:t>Reformske mjere. Ovoj vrsti mjera dodjeljuje se oznaka „R“.</w:t>
      </w:r>
    </w:p>
    <w:p w14:paraId="3D718904" w14:textId="77777777" w:rsidR="002B1324" w:rsidRPr="002B1324" w:rsidRDefault="002B1324" w:rsidP="00CB2946">
      <w:pPr>
        <w:pStyle w:val="Odlomakpopisa"/>
        <w:numPr>
          <w:ilvl w:val="0"/>
          <w:numId w:val="19"/>
        </w:numPr>
      </w:pPr>
      <w:r w:rsidRPr="002B1324">
        <w:t>Investicijske mjere. Ovoj vrsti mjera dodjeljuje se oznaka „I“.</w:t>
      </w:r>
    </w:p>
    <w:p w14:paraId="47A2337F" w14:textId="77777777" w:rsidR="00DD5959" w:rsidRDefault="00DD5959" w:rsidP="00DD5959">
      <w:pPr>
        <w:spacing w:after="0"/>
      </w:pPr>
    </w:p>
    <w:p w14:paraId="349E6F32" w14:textId="77777777" w:rsidR="00CB667E" w:rsidRPr="00FE60AC" w:rsidRDefault="00CB667E" w:rsidP="00CB667E">
      <w:pPr>
        <w:spacing w:before="240"/>
      </w:pPr>
      <w:r>
        <w:t xml:space="preserve">Reformske mjere razrađuju </w:t>
      </w:r>
      <w:r w:rsidR="003D7286">
        <w:t xml:space="preserve">se </w:t>
      </w:r>
      <w:r>
        <w:t xml:space="preserve">za provedbu određene reforme tijekom razdoblja provedbe, dok se investicijske mjere razrađuju za potrebe provedbe planiranih ulaganja tijekom određenog razdoblja provedbe. </w:t>
      </w:r>
    </w:p>
    <w:p w14:paraId="3D1CA5C2" w14:textId="77777777" w:rsidR="00CB667E" w:rsidRDefault="00CB667E" w:rsidP="00CB667E">
      <w:bookmarkStart w:id="70" w:name="_Toc115870351"/>
      <w:r w:rsidRPr="00FE60AC">
        <w:t>U nastavku slijed</w:t>
      </w:r>
      <w:r>
        <w:t>e</w:t>
      </w:r>
      <w:r w:rsidRPr="00FE60AC">
        <w:t xml:space="preserve"> prikaz i opis mjer</w:t>
      </w:r>
      <w:r>
        <w:t>a za provedbu</w:t>
      </w:r>
      <w:r w:rsidRPr="00FE60AC">
        <w:t xml:space="preserve"> posebni</w:t>
      </w:r>
      <w:r>
        <w:t>h</w:t>
      </w:r>
      <w:r w:rsidRPr="00FE60AC">
        <w:t xml:space="preserve"> ciljeva Nacionalnog plana.</w:t>
      </w:r>
      <w:r>
        <w:t xml:space="preserve"> </w:t>
      </w:r>
    </w:p>
    <w:p w14:paraId="0F0FE017" w14:textId="77777777" w:rsidR="00CB667E" w:rsidRPr="00FE60AC" w:rsidRDefault="00CB667E" w:rsidP="00CB667E"/>
    <w:p w14:paraId="6F14994F" w14:textId="77777777" w:rsidR="002B1324" w:rsidRPr="008943DB" w:rsidRDefault="002B1324" w:rsidP="002B1324">
      <w:pPr>
        <w:pStyle w:val="Tijeloteksta"/>
      </w:pPr>
      <w:bookmarkStart w:id="71" w:name="_Toc122536069"/>
      <w:r w:rsidRPr="008943DB">
        <w:t xml:space="preserve">Tablica </w:t>
      </w:r>
      <w:r w:rsidRPr="008943DB">
        <w:fldChar w:fldCharType="begin"/>
      </w:r>
      <w:r w:rsidRPr="008943DB">
        <w:instrText xml:space="preserve"> SEQ Tablica \* ARABIC </w:instrText>
      </w:r>
      <w:r w:rsidRPr="008943DB">
        <w:fldChar w:fldCharType="separate"/>
      </w:r>
      <w:r w:rsidR="00380D9E">
        <w:rPr>
          <w:noProof/>
        </w:rPr>
        <w:t>5</w:t>
      </w:r>
      <w:r w:rsidRPr="008943DB">
        <w:fldChar w:fldCharType="end"/>
      </w:r>
      <w:r w:rsidR="003D7286">
        <w:t>:</w:t>
      </w:r>
      <w:r w:rsidRPr="008943DB">
        <w:t xml:space="preserve"> </w:t>
      </w:r>
      <w:r>
        <w:t>Mjere za provedbu posebnih ciljeva</w:t>
      </w:r>
      <w:bookmarkEnd w:id="71"/>
      <w:r>
        <w:t xml:space="preserve"> </w:t>
      </w:r>
      <w:bookmarkEnd w:id="70"/>
    </w:p>
    <w:tbl>
      <w:tblPr>
        <w:tblStyle w:val="Svijetlatablicareetke-isticanje1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CB667E" w:rsidRPr="00A26577" w14:paraId="2E387539" w14:textId="77777777" w:rsidTr="00D62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44A6C6E" w14:textId="77777777" w:rsidR="00CB667E" w:rsidRPr="00A26577" w:rsidRDefault="005135D0" w:rsidP="00E94B2B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bookmarkStart w:id="72" w:name="_Hlk115804992"/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p</w:t>
            </w:r>
            <w:r w:rsidR="00CB667E" w:rsidRPr="00A26577">
              <w:rPr>
                <w:rFonts w:cs="Arial"/>
                <w:color w:val="000000"/>
                <w:sz w:val="16"/>
                <w:szCs w:val="16"/>
                <w:lang w:eastAsia="hr-HR"/>
              </w:rPr>
              <w:t>osebni cilj</w:t>
            </w:r>
          </w:p>
        </w:tc>
        <w:tc>
          <w:tcPr>
            <w:tcW w:w="5103" w:type="dxa"/>
            <w:vAlign w:val="center"/>
          </w:tcPr>
          <w:p w14:paraId="362E6DD6" w14:textId="77777777" w:rsidR="00CB667E" w:rsidRPr="00A26577" w:rsidRDefault="005135D0" w:rsidP="00E94B2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</w:t>
            </w:r>
            <w:r w:rsidR="00CB667E" w:rsidRPr="00A26577">
              <w:rPr>
                <w:rFonts w:cs="Arial"/>
                <w:color w:val="000000"/>
                <w:sz w:val="16"/>
                <w:szCs w:val="16"/>
                <w:lang w:eastAsia="hr-HR"/>
              </w:rPr>
              <w:t>jera</w:t>
            </w:r>
          </w:p>
        </w:tc>
      </w:tr>
      <w:tr w:rsidR="00CB667E" w:rsidRPr="00A26577" w14:paraId="038F00F2" w14:textId="77777777" w:rsidTr="00D62B6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vAlign w:val="center"/>
          </w:tcPr>
          <w:p w14:paraId="46F5D450" w14:textId="6D03D8CD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bookmarkStart w:id="73" w:name="_Hlk115701011"/>
            <w:bookmarkStart w:id="74" w:name="_Hlk115804966"/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</w:t>
            </w:r>
            <w:r w:rsidR="00B85EE6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A65EE6" w:rsidRPr="00A65EE6">
              <w:rPr>
                <w:rFonts w:cs="Arial"/>
                <w:color w:val="000000"/>
                <w:sz w:val="16"/>
                <w:szCs w:val="16"/>
                <w:lang w:eastAsia="hr-HR"/>
              </w:rPr>
              <w:t>Poboljšanje ekonomske i financijske održivosti upravljanja željezničkim sustavom</w:t>
            </w:r>
          </w:p>
        </w:tc>
        <w:tc>
          <w:tcPr>
            <w:tcW w:w="5103" w:type="dxa"/>
            <w:vAlign w:val="center"/>
          </w:tcPr>
          <w:p w14:paraId="5FDEDB46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A26577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1.1. (I) Višegodišnji ugovor o javnoj usluzi prijevoza putnika </w:t>
            </w:r>
          </w:p>
        </w:tc>
      </w:tr>
      <w:tr w:rsidR="00CB667E" w:rsidRPr="00A26577" w14:paraId="28DC2B22" w14:textId="77777777" w:rsidTr="00D62B6F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202408B3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216E8B21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1.2. (R) Reorganizacija ustroja javnih željezničkih društava prema smjernicama OECD-a</w:t>
            </w:r>
          </w:p>
        </w:tc>
      </w:tr>
      <w:tr w:rsidR="00CB667E" w:rsidRPr="00A26577" w14:paraId="6693CBF8" w14:textId="77777777" w:rsidTr="00D62B6F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216F8F65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4FDCD993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1.3. (R) Racionalizacija poslovanja javnih željezničkih društava</w:t>
            </w:r>
          </w:p>
        </w:tc>
      </w:tr>
      <w:bookmarkEnd w:id="73"/>
      <w:tr w:rsidR="00CB667E" w:rsidRPr="00A26577" w14:paraId="16FD159E" w14:textId="77777777" w:rsidTr="00D62B6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4F04D4B1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07605DD9" w14:textId="2F15731F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1.4. (I) </w:t>
            </w:r>
            <w:r w:rsidR="00157571" w:rsidRPr="00157571">
              <w:rPr>
                <w:rFonts w:cs="Arial"/>
                <w:color w:val="000000"/>
                <w:sz w:val="16"/>
                <w:szCs w:val="16"/>
                <w:lang w:eastAsia="hr-HR"/>
              </w:rPr>
              <w:t>Informatizacija sustava podrške poslovnim procesima željezničkih društava</w:t>
            </w:r>
          </w:p>
        </w:tc>
      </w:tr>
      <w:tr w:rsidR="00CB667E" w:rsidRPr="00A26577" w14:paraId="3809E118" w14:textId="77777777" w:rsidTr="00D62B6F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06330254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6DECFF45" w14:textId="657470E9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1.5. (R) </w:t>
            </w:r>
            <w:r w:rsidR="00157571" w:rsidRPr="00157571">
              <w:rPr>
                <w:rFonts w:cs="Arial"/>
                <w:color w:val="000000"/>
                <w:sz w:val="16"/>
                <w:szCs w:val="16"/>
                <w:lang w:eastAsia="hr-HR"/>
              </w:rPr>
              <w:t>Aktivacija i bolje iskorištavanje suvišne imovine javnih željezničkih društava</w:t>
            </w:r>
          </w:p>
        </w:tc>
      </w:tr>
      <w:tr w:rsidR="00CB667E" w:rsidRPr="00A26577" w14:paraId="56E12CDC" w14:textId="77777777" w:rsidTr="00D62B6F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6E0D2644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0981E2A9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1.6. (R) </w:t>
            </w:r>
            <w:r w:rsidRPr="0026012E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Financijsko i poslovno restrukturiranje društva HŽ </w:t>
            </w:r>
            <w:proofErr w:type="spellStart"/>
            <w:r w:rsidRPr="0026012E">
              <w:rPr>
                <w:rFonts w:cs="Arial"/>
                <w:color w:val="000000"/>
                <w:sz w:val="16"/>
                <w:szCs w:val="16"/>
                <w:lang w:eastAsia="hr-HR"/>
              </w:rPr>
              <w:t>Cargo</w:t>
            </w:r>
            <w:proofErr w:type="spellEnd"/>
          </w:p>
        </w:tc>
      </w:tr>
      <w:tr w:rsidR="00CB667E" w:rsidRPr="00A26577" w14:paraId="05C03867" w14:textId="77777777" w:rsidTr="00D62B6F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1782C7FF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0F3F2D79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1.7. (R) Jačanje (podizanje) stručnih kompetencija zaposlenika u željezničkom sustavu</w:t>
            </w:r>
          </w:p>
        </w:tc>
      </w:tr>
      <w:tr w:rsidR="00CB667E" w:rsidRPr="00A26577" w14:paraId="475786BC" w14:textId="77777777" w:rsidTr="00D62B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vAlign w:val="center"/>
          </w:tcPr>
          <w:p w14:paraId="3A4078CC" w14:textId="77777777" w:rsidR="00CB667E" w:rsidRPr="00A26577" w:rsidRDefault="00CB667E" w:rsidP="009D5DDE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bookmarkStart w:id="75" w:name="_Hlk115701438"/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A26577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Unaprjeđenje usluga u željezničkom prijevozu </w:t>
            </w:r>
          </w:p>
        </w:tc>
        <w:tc>
          <w:tcPr>
            <w:tcW w:w="5103" w:type="dxa"/>
            <w:vAlign w:val="center"/>
          </w:tcPr>
          <w:p w14:paraId="5666F87C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2.1. (I) Unaprjeđenje voznog parka za prijevoz putnika</w:t>
            </w:r>
          </w:p>
        </w:tc>
      </w:tr>
      <w:tr w:rsidR="00CB667E" w:rsidRPr="00A26577" w14:paraId="66C495A0" w14:textId="77777777" w:rsidTr="00D62B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03D8C466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2DF33853" w14:textId="77777777" w:rsidR="00CB667E" w:rsidRPr="001A3DA0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1A3DA0">
              <w:rPr>
                <w:rFonts w:cs="Arial"/>
                <w:color w:val="000000"/>
                <w:sz w:val="16"/>
                <w:szCs w:val="16"/>
                <w:lang w:eastAsia="hr-HR"/>
              </w:rPr>
              <w:t>M 2.2. (I) Unaprjeđenje  usluga održavanja putničkog voznog parka</w:t>
            </w:r>
          </w:p>
        </w:tc>
      </w:tr>
      <w:tr w:rsidR="001A3DA0" w:rsidRPr="00A26577" w14:paraId="42BD241B" w14:textId="77777777" w:rsidTr="00D62B6F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1EAD1449" w14:textId="77777777" w:rsidR="001A3DA0" w:rsidRPr="00A26577" w:rsidRDefault="001A3DA0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70F00357" w14:textId="77777777" w:rsidR="001A3DA0" w:rsidRPr="001A3DA0" w:rsidRDefault="001A3DA0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1A3DA0">
              <w:rPr>
                <w:rFonts w:cs="Arial"/>
                <w:color w:val="000000"/>
                <w:sz w:val="16"/>
                <w:szCs w:val="16"/>
                <w:lang w:eastAsia="hr-HR"/>
              </w:rPr>
              <w:t>M 2.3. (I) Nadogradnja sustava za informiranje, informatičkog i prodajnog sustava te modernizacija vlakova s informatičkim sustavom</w:t>
            </w:r>
          </w:p>
        </w:tc>
      </w:tr>
      <w:tr w:rsidR="00CB667E" w:rsidRPr="00A26577" w14:paraId="2381CA9B" w14:textId="77777777" w:rsidTr="00D62B6F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6D1EF141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tcBorders>
              <w:bottom w:val="single" w:sz="4" w:space="0" w:color="BDD6EE" w:themeColor="accent1" w:themeTint="66"/>
            </w:tcBorders>
            <w:vAlign w:val="center"/>
          </w:tcPr>
          <w:p w14:paraId="571A3576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. (R) </w:t>
            </w:r>
            <w:r w:rsidRPr="00405932">
              <w:rPr>
                <w:rFonts w:cs="Arial"/>
                <w:color w:val="000000"/>
                <w:sz w:val="16"/>
                <w:szCs w:val="16"/>
                <w:lang w:eastAsia="hr-HR"/>
              </w:rPr>
              <w:t>Uvođenje taktnog voznog reda</w:t>
            </w:r>
          </w:p>
        </w:tc>
      </w:tr>
      <w:tr w:rsidR="00CB667E" w:rsidRPr="00A26577" w14:paraId="510E5691" w14:textId="77777777" w:rsidTr="00D62B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454674E0" w14:textId="77777777" w:rsidR="00CB667E" w:rsidRPr="00A26577" w:rsidRDefault="00CB667E" w:rsidP="00E94B2B">
            <w:pPr>
              <w:spacing w:line="240" w:lineRule="auto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bookmarkStart w:id="76" w:name="_Hlk115701503"/>
            <w:bookmarkEnd w:id="75"/>
          </w:p>
        </w:tc>
        <w:tc>
          <w:tcPr>
            <w:tcW w:w="5103" w:type="dxa"/>
            <w:vAlign w:val="center"/>
          </w:tcPr>
          <w:p w14:paraId="3AFE83AD" w14:textId="18372E0B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. (R) </w:t>
            </w:r>
            <w:r w:rsidR="00157571" w:rsidRPr="00157571">
              <w:rPr>
                <w:rFonts w:cs="Arial"/>
                <w:color w:val="000000"/>
                <w:sz w:val="16"/>
                <w:szCs w:val="16"/>
                <w:lang w:eastAsia="hr-HR"/>
              </w:rPr>
              <w:t>Unaprjeđenje ponude usluga u putničkom prijevozu prema zahtjevima korisnika</w:t>
            </w:r>
          </w:p>
        </w:tc>
      </w:tr>
      <w:tr w:rsidR="00CB667E" w:rsidRPr="00A26577" w14:paraId="6364CCC6" w14:textId="77777777" w:rsidTr="00D62B6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2E1BE6E6" w14:textId="77777777" w:rsidR="00CB667E" w:rsidRPr="00A26577" w:rsidRDefault="00CB667E" w:rsidP="00E94B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7F75C072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6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. (R) Uvođenje integriranog prijevoza putnika</w:t>
            </w:r>
          </w:p>
        </w:tc>
      </w:tr>
      <w:tr w:rsidR="00CB667E" w:rsidRPr="00A26577" w14:paraId="705C49A6" w14:textId="77777777" w:rsidTr="00D62B6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2D10AF68" w14:textId="77777777" w:rsidR="00CB667E" w:rsidRPr="00A26577" w:rsidRDefault="00CB667E" w:rsidP="00E94B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7425FCB3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7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. (R) Poticanje usluge teretnog željezničkog prijevoza</w:t>
            </w:r>
          </w:p>
        </w:tc>
      </w:tr>
      <w:tr w:rsidR="00CB667E" w:rsidRPr="00A26577" w14:paraId="2C713F1E" w14:textId="77777777" w:rsidTr="00D62B6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1F82516E" w14:textId="77777777" w:rsidR="00CB667E" w:rsidRPr="00A26577" w:rsidRDefault="00CB667E" w:rsidP="00E94B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657AA0A1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8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. (I) Unaprjeđenje voznog parka za prijevoz tereta</w:t>
            </w:r>
          </w:p>
        </w:tc>
      </w:tr>
      <w:tr w:rsidR="00CB667E" w:rsidRPr="00A26577" w14:paraId="078E32CE" w14:textId="77777777" w:rsidTr="00D62B6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vAlign w:val="center"/>
          </w:tcPr>
          <w:p w14:paraId="0F8F3AB1" w14:textId="77777777" w:rsidR="00CB667E" w:rsidRPr="00A26577" w:rsidRDefault="00CB667E" w:rsidP="00E94B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03" w:type="dxa"/>
            <w:vAlign w:val="center"/>
          </w:tcPr>
          <w:p w14:paraId="04CB5526" w14:textId="77777777" w:rsidR="00CB667E" w:rsidRPr="00A26577" w:rsidRDefault="00CB667E" w:rsidP="00E94B2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1A3DA0">
              <w:rPr>
                <w:rFonts w:cs="Arial"/>
                <w:color w:val="000000"/>
                <w:sz w:val="16"/>
                <w:szCs w:val="16"/>
                <w:lang w:eastAsia="hr-HR"/>
              </w:rPr>
              <w:t>9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. (R) Unapr</w:t>
            </w:r>
            <w:r w:rsidR="003D7286">
              <w:rPr>
                <w:rFonts w:cs="Arial"/>
                <w:color w:val="000000"/>
                <w:sz w:val="16"/>
                <w:szCs w:val="16"/>
                <w:lang w:eastAsia="hr-HR"/>
              </w:rPr>
              <w:t>j</w:t>
            </w:r>
            <w:r w:rsidRPr="007A508C">
              <w:rPr>
                <w:rFonts w:cs="Arial"/>
                <w:color w:val="000000"/>
                <w:sz w:val="16"/>
                <w:szCs w:val="16"/>
                <w:lang w:eastAsia="hr-HR"/>
              </w:rPr>
              <w:t>eđenje usluga intermodalnog prijevoza</w:t>
            </w:r>
          </w:p>
        </w:tc>
      </w:tr>
      <w:bookmarkEnd w:id="72"/>
      <w:bookmarkEnd w:id="74"/>
      <w:bookmarkEnd w:id="76"/>
    </w:tbl>
    <w:p w14:paraId="753FAB73" w14:textId="77777777" w:rsidR="002B1324" w:rsidRPr="002B1324" w:rsidRDefault="002B1324" w:rsidP="002B1324"/>
    <w:p w14:paraId="26A157D6" w14:textId="77777777" w:rsidR="002B1324" w:rsidRDefault="002B1324">
      <w:pPr>
        <w:spacing w:line="240" w:lineRule="auto"/>
        <w:jc w:val="left"/>
      </w:pPr>
      <w:r>
        <w:br w:type="page"/>
      </w:r>
    </w:p>
    <w:p w14:paraId="16B3665D" w14:textId="77777777" w:rsidR="00E702EE" w:rsidRDefault="00CB667E" w:rsidP="00001FEA">
      <w:pPr>
        <w:pStyle w:val="Naslov3"/>
        <w:ind w:left="0" w:firstLine="0"/>
      </w:pPr>
      <w:bookmarkStart w:id="77" w:name="_Toc122335630"/>
      <w:bookmarkStart w:id="78" w:name="_Hlk106110973"/>
      <w:bookmarkStart w:id="79" w:name="_Hlk109543816"/>
      <w:r>
        <w:lastRenderedPageBreak/>
        <w:t>Mjere za provedbu PC</w:t>
      </w:r>
      <w:r w:rsidR="00E702EE">
        <w:t xml:space="preserve"> 1.</w:t>
      </w:r>
      <w:r w:rsidR="00E702EE" w:rsidRPr="00B84F84">
        <w:t xml:space="preserve"> </w:t>
      </w:r>
      <w:r w:rsidR="00AA4593" w:rsidRPr="00AA4593">
        <w:t>Poboljšanje održivosti upravljanja željezničkim sustavom</w:t>
      </w:r>
      <w:bookmarkEnd w:id="77"/>
    </w:p>
    <w:p w14:paraId="7B6ACB68" w14:textId="77777777" w:rsidR="005329AC" w:rsidRPr="005329AC" w:rsidRDefault="005329AC" w:rsidP="005329AC"/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AA4593" w:rsidRPr="00B84F84" w14:paraId="5704408B" w14:textId="77777777" w:rsidTr="007C38CF">
        <w:tc>
          <w:tcPr>
            <w:tcW w:w="2405" w:type="dxa"/>
            <w:vAlign w:val="center"/>
          </w:tcPr>
          <w:p w14:paraId="4B0A5BE0" w14:textId="77777777" w:rsidR="00AA4593" w:rsidRPr="00E150FE" w:rsidRDefault="00AA4593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6" w:type="dxa"/>
            <w:vAlign w:val="center"/>
          </w:tcPr>
          <w:p w14:paraId="67738D65" w14:textId="77777777" w:rsidR="00AA4593" w:rsidRPr="00B84F84" w:rsidRDefault="00FC2DEA" w:rsidP="00E94B2B">
            <w:pPr>
              <w:rPr>
                <w:b/>
                <w:bCs/>
              </w:rPr>
            </w:pPr>
            <w:bookmarkStart w:id="80" w:name="_Hlk115693693"/>
            <w:r>
              <w:rPr>
                <w:b/>
                <w:bCs/>
              </w:rPr>
              <w:t xml:space="preserve">M 1.1. (I) </w:t>
            </w:r>
            <w:r w:rsidR="00AA4593">
              <w:rPr>
                <w:b/>
                <w:bCs/>
              </w:rPr>
              <w:t xml:space="preserve">Višegodišnji ugovor o javnoj usluzi prijevoza putnika </w:t>
            </w:r>
            <w:bookmarkEnd w:id="80"/>
          </w:p>
        </w:tc>
      </w:tr>
      <w:tr w:rsidR="00AA4593" w14:paraId="00B9CF29" w14:textId="77777777" w:rsidTr="007C38CF">
        <w:tc>
          <w:tcPr>
            <w:tcW w:w="2405" w:type="dxa"/>
            <w:vAlign w:val="center"/>
          </w:tcPr>
          <w:p w14:paraId="592D0111" w14:textId="77777777" w:rsidR="00AA4593" w:rsidRPr="00E150FE" w:rsidRDefault="00AA4593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2E8ECA95" w14:textId="77777777" w:rsidR="00AA4593" w:rsidRDefault="00AA4593" w:rsidP="00E94B2B">
            <w:bookmarkStart w:id="81" w:name="_Hlk116587925"/>
            <w:r w:rsidRPr="00076C4A">
              <w:t>Ugovor o javnim uslugama za usluge od općeg gospodarskog interesa u javnom željezničkom prijevozu u Republici Hrvatskoj</w:t>
            </w:r>
            <w:r>
              <w:t xml:space="preserve"> </w:t>
            </w:r>
            <w:bookmarkEnd w:id="81"/>
            <w:r>
              <w:t>između RH i HŽPP</w:t>
            </w:r>
            <w:r w:rsidR="003D7286">
              <w:t>-a</w:t>
            </w:r>
            <w:r>
              <w:t xml:space="preserve"> </w:t>
            </w:r>
            <w:r w:rsidR="00DB7F86">
              <w:t>ne sadrži razvojnu</w:t>
            </w:r>
            <w:r w:rsidR="0042028F" w:rsidRPr="0042028F">
              <w:t xml:space="preserve"> komponent</w:t>
            </w:r>
            <w:r w:rsidR="00DB7F86">
              <w:t>u</w:t>
            </w:r>
            <w:r w:rsidR="0042028F" w:rsidRPr="0042028F">
              <w:t xml:space="preserve"> kao zasebn</w:t>
            </w:r>
            <w:r w:rsidR="00DB7F86">
              <w:t>u</w:t>
            </w:r>
            <w:r w:rsidR="0042028F" w:rsidRPr="0042028F">
              <w:t xml:space="preserve"> kategorij</w:t>
            </w:r>
            <w:r w:rsidR="00DB7F86">
              <w:t>u</w:t>
            </w:r>
            <w:r w:rsidR="0042028F" w:rsidRPr="0042028F">
              <w:t xml:space="preserve"> te će ugovor sukladno potrebama biti izmijenjen kako bi se omogućila kontinuirana ulaganja u modernizaciju poslovanja i nabavu novog voznog parka.</w:t>
            </w:r>
          </w:p>
          <w:p w14:paraId="36FE9510" w14:textId="77777777" w:rsidR="00AA4593" w:rsidRPr="00ED551A" w:rsidRDefault="005329AC" w:rsidP="00E94B2B">
            <w:r w:rsidRPr="00E50D64">
              <w:rPr>
                <w:rFonts w:eastAsia="Arial"/>
                <w:color w:val="000000"/>
              </w:rPr>
              <w:t xml:space="preserve">Prije isteka postojećeg ugovora potrebno je provesti novi </w:t>
            </w:r>
            <w:r w:rsidRPr="00ED551A">
              <w:rPr>
                <w:rFonts w:eastAsia="Arial"/>
              </w:rPr>
              <w:t>postupak dodjele PSO ugovora u skladu s važećim pravom EU i nacionalnim pravom kako bi se nastavio kontinuitet pružanja usluga željezničkog prijevoza</w:t>
            </w:r>
            <w:r w:rsidR="003D4444" w:rsidRPr="00ED551A">
              <w:rPr>
                <w:rFonts w:eastAsia="Arial"/>
              </w:rPr>
              <w:t xml:space="preserve">. </w:t>
            </w:r>
          </w:p>
          <w:p w14:paraId="5FA965F8" w14:textId="77777777" w:rsidR="006230CC" w:rsidRPr="00BC4F2E" w:rsidRDefault="006230CC" w:rsidP="00E94B2B">
            <w:r w:rsidRPr="00ED551A">
              <w:t>Ugovor je potrebno sklopiti u skladu s odredbama Uredbe (EZ-a) br. 1370/2007 Europskog parlamenta i Vijeća od 23. listopada 2007. o uslugama javnog prijevoza putnika željeznicom i cestom i o ukidanju Uredbi Vijeća br. 1191/69 i 1107/70</w:t>
            </w:r>
            <w:r w:rsidRPr="00ED551A">
              <w:rPr>
                <w:rStyle w:val="Referencafusnote"/>
                <w:rFonts w:eastAsiaTheme="minorEastAsia"/>
              </w:rPr>
              <w:footnoteReference w:id="2"/>
            </w:r>
            <w:r w:rsidRPr="00ED551A">
              <w:t xml:space="preserve"> i izmjenama i dopunama ove Uredbe sadržanima u Uredbi (EU) 2016/2338 od 14. prosinca 2016. o izmjeni Uredbe (EZ) br. 1370/2007 u pogledu otvaranja tržišta za usluge domaćeg željezničkog prijevoza putnika</w:t>
            </w:r>
            <w:r w:rsidRPr="00ED551A">
              <w:rPr>
                <w:rStyle w:val="Referencafusnote"/>
                <w:rFonts w:eastAsiaTheme="minorEastAsia"/>
              </w:rPr>
              <w:footnoteReference w:id="3"/>
            </w:r>
            <w:r w:rsidRPr="00ED551A">
              <w:t xml:space="preserve">, odnosno u tom trenutku važećih EU i nacionalnih propisa. </w:t>
            </w:r>
          </w:p>
        </w:tc>
      </w:tr>
      <w:tr w:rsidR="00AA4593" w14:paraId="7EC12DFE" w14:textId="77777777" w:rsidTr="007C38CF">
        <w:tc>
          <w:tcPr>
            <w:tcW w:w="2405" w:type="dxa"/>
            <w:vAlign w:val="center"/>
          </w:tcPr>
          <w:p w14:paraId="734D193B" w14:textId="77777777" w:rsidR="00AA4593" w:rsidRPr="00E150FE" w:rsidRDefault="00AA4593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6" w:type="dxa"/>
            <w:vAlign w:val="center"/>
          </w:tcPr>
          <w:p w14:paraId="6FCDD542" w14:textId="77777777" w:rsidR="00AA4593" w:rsidRDefault="00AA4593" w:rsidP="00E94B2B">
            <w:r>
              <w:t xml:space="preserve">Izmjena PSO ugovora: 2023. </w:t>
            </w:r>
          </w:p>
          <w:p w14:paraId="467B2EDA" w14:textId="77777777" w:rsidR="00AA4593" w:rsidRDefault="00AA4593" w:rsidP="00E94B2B">
            <w:r>
              <w:t xml:space="preserve">Novi PSO ugovor: 2028. </w:t>
            </w:r>
          </w:p>
        </w:tc>
      </w:tr>
    </w:tbl>
    <w:p w14:paraId="540E7071" w14:textId="77777777" w:rsidR="00AA4593" w:rsidRDefault="00AA4593" w:rsidP="00FD1407"/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4002EB" w:rsidRPr="00B84F84" w14:paraId="1723BDD8" w14:textId="77777777" w:rsidTr="007C38CF">
        <w:tc>
          <w:tcPr>
            <w:tcW w:w="2405" w:type="dxa"/>
            <w:vAlign w:val="center"/>
          </w:tcPr>
          <w:p w14:paraId="48FC92F7" w14:textId="77777777" w:rsidR="004002EB" w:rsidRPr="00E150FE" w:rsidRDefault="004002EB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6" w:type="dxa"/>
            <w:vAlign w:val="center"/>
          </w:tcPr>
          <w:p w14:paraId="1C9EE77F" w14:textId="77777777" w:rsidR="004002EB" w:rsidRPr="00B84F84" w:rsidRDefault="004002EB" w:rsidP="00E94B2B">
            <w:pPr>
              <w:rPr>
                <w:b/>
                <w:bCs/>
              </w:rPr>
            </w:pPr>
            <w:bookmarkStart w:id="82" w:name="_Hlk116027602"/>
            <w:r>
              <w:rPr>
                <w:b/>
                <w:bCs/>
              </w:rPr>
              <w:t>M 1.</w:t>
            </w:r>
            <w:r w:rsidR="007C38CF">
              <w:rPr>
                <w:b/>
                <w:bCs/>
              </w:rPr>
              <w:t>2</w:t>
            </w:r>
            <w:r>
              <w:rPr>
                <w:b/>
                <w:bCs/>
              </w:rPr>
              <w:t>. (</w:t>
            </w:r>
            <w:r w:rsidR="007C38C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</w:t>
            </w:r>
            <w:r w:rsidRPr="004002EB">
              <w:rPr>
                <w:b/>
                <w:bCs/>
              </w:rPr>
              <w:t>Reorganizacija ustroja javnih željezničkih društava prema smjernicama OECD-a</w:t>
            </w:r>
            <w:bookmarkEnd w:id="82"/>
          </w:p>
        </w:tc>
      </w:tr>
      <w:tr w:rsidR="004002EB" w14:paraId="51CF7023" w14:textId="77777777" w:rsidTr="007C38CF">
        <w:tc>
          <w:tcPr>
            <w:tcW w:w="2405" w:type="dxa"/>
            <w:vAlign w:val="center"/>
          </w:tcPr>
          <w:p w14:paraId="5136BE9E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3C3B8140" w14:textId="77777777" w:rsidR="00E72006" w:rsidRDefault="003C1DB8" w:rsidP="00E94B2B">
            <w:r w:rsidRPr="003C1DB8">
              <w:t xml:space="preserve">U sklopu cjelokupnog poslovnog restrukturiranja sva društva u željezničkom sektoru postižu učinkovitije upravljanje imovinom i usvajaju međunarodno dogovoren standard smjernica OECD-a za korporativno upravljanje u poduzećima u državnom vlasništvu. Smjernice se odnose na: </w:t>
            </w:r>
          </w:p>
          <w:p w14:paraId="51DA4386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Obrazloženja za državno vlasništvo </w:t>
            </w:r>
          </w:p>
          <w:p w14:paraId="3D5D4C43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Uloga države kao vlasnika </w:t>
            </w:r>
          </w:p>
          <w:p w14:paraId="3F438559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Poduzeća u državnom vlasništvu na tržištu </w:t>
            </w:r>
          </w:p>
          <w:p w14:paraId="1C5F8D76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Pravično postupanje prema dioničarima i drugim ulagateljima </w:t>
            </w:r>
          </w:p>
          <w:p w14:paraId="18C2B173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Odnosi s dionicima i odgovorno poslovanje </w:t>
            </w:r>
          </w:p>
          <w:p w14:paraId="001E4A7E" w14:textId="77777777" w:rsidR="00E72006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Objavljivanje i transparentnost </w:t>
            </w:r>
          </w:p>
          <w:p w14:paraId="251C82B7" w14:textId="77777777" w:rsidR="003C1DB8" w:rsidRPr="00BC4F2E" w:rsidRDefault="003C1DB8" w:rsidP="00CB2946">
            <w:pPr>
              <w:pStyle w:val="Odlomakpopisa"/>
              <w:numPr>
                <w:ilvl w:val="0"/>
                <w:numId w:val="34"/>
              </w:numPr>
            </w:pPr>
            <w:r w:rsidRPr="003C1DB8">
              <w:t xml:space="preserve">Odgovornosti nadzornih odbora poduzeća u državnom vlasništvu. Javna željeznička društva posebnu pozornost posvećuju smjernicama koje se odnose na </w:t>
            </w:r>
            <w:r w:rsidRPr="003C1DB8">
              <w:lastRenderedPageBreak/>
              <w:t>postizanje bolje učinkovitosti, veće transparentnosti i jačanje odgovornosti.</w:t>
            </w:r>
          </w:p>
        </w:tc>
      </w:tr>
      <w:tr w:rsidR="004002EB" w14:paraId="137C8C6A" w14:textId="77777777" w:rsidTr="007C38CF">
        <w:tc>
          <w:tcPr>
            <w:tcW w:w="2405" w:type="dxa"/>
            <w:vAlign w:val="center"/>
          </w:tcPr>
          <w:p w14:paraId="1E0DC5C9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Razdoblje provedbe:</w:t>
            </w:r>
          </w:p>
        </w:tc>
        <w:tc>
          <w:tcPr>
            <w:tcW w:w="6546" w:type="dxa"/>
            <w:vAlign w:val="center"/>
          </w:tcPr>
          <w:p w14:paraId="1169660C" w14:textId="323E9D5B" w:rsidR="004002EB" w:rsidRDefault="00157571" w:rsidP="00E94B2B">
            <w:r>
              <w:t>do</w:t>
            </w:r>
            <w:r w:rsidR="005C09A7">
              <w:t xml:space="preserve"> 2024. </w:t>
            </w:r>
          </w:p>
        </w:tc>
      </w:tr>
    </w:tbl>
    <w:p w14:paraId="2C237EDF" w14:textId="77777777" w:rsidR="004A563B" w:rsidRDefault="004A563B" w:rsidP="00FD1407"/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4002EB" w:rsidRPr="00B84F84" w14:paraId="5DE53865" w14:textId="77777777" w:rsidTr="007C38CF">
        <w:tc>
          <w:tcPr>
            <w:tcW w:w="2405" w:type="dxa"/>
            <w:vAlign w:val="center"/>
          </w:tcPr>
          <w:p w14:paraId="68C70BF9" w14:textId="77777777" w:rsidR="004002EB" w:rsidRPr="00E150FE" w:rsidRDefault="004002EB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6" w:type="dxa"/>
            <w:vAlign w:val="center"/>
          </w:tcPr>
          <w:p w14:paraId="37233CEE" w14:textId="77777777" w:rsidR="004002EB" w:rsidRPr="00B84F84" w:rsidRDefault="004002EB" w:rsidP="00E94B2B">
            <w:pPr>
              <w:rPr>
                <w:b/>
                <w:bCs/>
              </w:rPr>
            </w:pPr>
            <w:bookmarkStart w:id="83" w:name="_Hlk116027596"/>
            <w:r>
              <w:rPr>
                <w:b/>
                <w:bCs/>
              </w:rPr>
              <w:t>M 1.</w:t>
            </w:r>
            <w:r w:rsidR="007C38CF">
              <w:rPr>
                <w:b/>
                <w:bCs/>
              </w:rPr>
              <w:t>3</w:t>
            </w:r>
            <w:r>
              <w:rPr>
                <w:b/>
                <w:bCs/>
              </w:rPr>
              <w:t>. (</w:t>
            </w:r>
            <w:r w:rsidR="007C38C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</w:t>
            </w:r>
            <w:r w:rsidRPr="004002EB">
              <w:rPr>
                <w:b/>
                <w:bCs/>
              </w:rPr>
              <w:t>Racionalizacija poslovanja javnih željezničkih društava</w:t>
            </w:r>
            <w:bookmarkEnd w:id="83"/>
          </w:p>
        </w:tc>
      </w:tr>
      <w:tr w:rsidR="004002EB" w14:paraId="01C3046D" w14:textId="77777777" w:rsidTr="007C38CF">
        <w:tc>
          <w:tcPr>
            <w:tcW w:w="2405" w:type="dxa"/>
            <w:vAlign w:val="center"/>
          </w:tcPr>
          <w:p w14:paraId="3DB174E6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5BDE7F35" w14:textId="77777777" w:rsidR="004002EB" w:rsidRPr="00BC4F2E" w:rsidRDefault="00BD4E76" w:rsidP="00E94B2B">
            <w:r w:rsidRPr="00BD4E76">
              <w:t xml:space="preserve">MMPI će od navedenih društava zatražiti izradu novih poslovnih planova te će pratiti njihovo ostvarenje. Poslovni planovi će se temeljiti na cjelokupnoj Sektorskoj strategiji, Nacionalnom planu razvoja </w:t>
            </w:r>
            <w:r w:rsidR="00DB7F86">
              <w:t>željezničke infrastrukture</w:t>
            </w:r>
            <w:r w:rsidRPr="00BD4E76">
              <w:t xml:space="preserve"> i </w:t>
            </w:r>
            <w:r w:rsidR="00DB7F86">
              <w:t xml:space="preserve">ovom </w:t>
            </w:r>
            <w:r w:rsidR="00AF7006">
              <w:t>N</w:t>
            </w:r>
            <w:r w:rsidRPr="00BD4E76">
              <w:t>acionalnom planu. Praćenje specifičnih pokazatelja učinka i pokazatelja rezultata omogućit će državi mjerenje rada članova uprava te tako izravno povezati državnu podršku s poboljšanjem efikasnosti koja povećava učinkovitost trošenja javnih sredstava.</w:t>
            </w:r>
          </w:p>
        </w:tc>
      </w:tr>
      <w:tr w:rsidR="004002EB" w14:paraId="5D9C157F" w14:textId="77777777" w:rsidTr="007C38CF">
        <w:tc>
          <w:tcPr>
            <w:tcW w:w="2405" w:type="dxa"/>
            <w:vAlign w:val="center"/>
          </w:tcPr>
          <w:p w14:paraId="318D79DA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6" w:type="dxa"/>
            <w:vAlign w:val="center"/>
          </w:tcPr>
          <w:p w14:paraId="1B887924" w14:textId="77777777" w:rsidR="004002EB" w:rsidRDefault="00FD1407" w:rsidP="00E94B2B">
            <w:r>
              <w:t xml:space="preserve">2023. </w:t>
            </w:r>
          </w:p>
        </w:tc>
      </w:tr>
    </w:tbl>
    <w:p w14:paraId="47F1848D" w14:textId="77777777" w:rsidR="005C09A7" w:rsidRDefault="005C09A7">
      <w:pPr>
        <w:spacing w:line="240" w:lineRule="auto"/>
        <w:jc w:val="left"/>
      </w:pPr>
    </w:p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4002EB" w:rsidRPr="00B84F84" w14:paraId="5D88AEBD" w14:textId="77777777" w:rsidTr="00E16CFB">
        <w:tc>
          <w:tcPr>
            <w:tcW w:w="2405" w:type="dxa"/>
            <w:vAlign w:val="center"/>
          </w:tcPr>
          <w:p w14:paraId="1776DFC7" w14:textId="77777777" w:rsidR="004002EB" w:rsidRPr="00E150FE" w:rsidRDefault="004002EB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6" w:type="dxa"/>
            <w:vAlign w:val="center"/>
          </w:tcPr>
          <w:p w14:paraId="4673A4DE" w14:textId="0BDE84CF" w:rsidR="004002EB" w:rsidRPr="00B84F84" w:rsidRDefault="004002EB" w:rsidP="00E94B2B">
            <w:pPr>
              <w:rPr>
                <w:b/>
                <w:bCs/>
              </w:rPr>
            </w:pPr>
            <w:bookmarkStart w:id="84" w:name="_Hlk116027592"/>
            <w:r>
              <w:rPr>
                <w:b/>
                <w:bCs/>
              </w:rPr>
              <w:t>M 1.</w:t>
            </w:r>
            <w:r w:rsidR="007C38C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(I) </w:t>
            </w:r>
            <w:r w:rsidR="00157571" w:rsidRPr="00157571">
              <w:rPr>
                <w:b/>
                <w:bCs/>
              </w:rPr>
              <w:t>Informatizacija sustava podrške poslovnim procesima željezničkih društava</w:t>
            </w:r>
            <w:bookmarkEnd w:id="84"/>
          </w:p>
        </w:tc>
      </w:tr>
      <w:tr w:rsidR="004002EB" w14:paraId="41F9ED68" w14:textId="77777777" w:rsidTr="00E16CFB">
        <w:tc>
          <w:tcPr>
            <w:tcW w:w="2405" w:type="dxa"/>
            <w:vAlign w:val="center"/>
          </w:tcPr>
          <w:p w14:paraId="5FA47D8C" w14:textId="77777777" w:rsidR="004002EB" w:rsidRPr="00E150FE" w:rsidRDefault="004002EB" w:rsidP="004002E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44714B7C" w14:textId="77777777" w:rsidR="00FA7ACA" w:rsidRPr="00FA7ACA" w:rsidRDefault="00FA7ACA" w:rsidP="004002EB">
            <w:pPr>
              <w:rPr>
                <w:rFonts w:cs="Arial"/>
              </w:rPr>
            </w:pPr>
            <w:r w:rsidRPr="00FA7ACA">
              <w:rPr>
                <w:rFonts w:cs="Arial"/>
              </w:rPr>
              <w:t xml:space="preserve">Provest će se optimizacija i informatizacija poslovnih procesa javnih željezničkih društava kako bi se na duži rok osiguralo održivo upravljanje javnom željezničkom infrastrukturom i poboljšala konkurentnost željezničkog prometa u odnosu na, prvenstveno, cestovni promet. </w:t>
            </w:r>
          </w:p>
          <w:p w14:paraId="4969B5E7" w14:textId="77777777" w:rsidR="00FA7ACA" w:rsidRPr="00FA7ACA" w:rsidRDefault="00FA7ACA" w:rsidP="004002EB">
            <w:pPr>
              <w:rPr>
                <w:rFonts w:cs="Arial"/>
              </w:rPr>
            </w:pPr>
            <w:r w:rsidRPr="00FA7ACA">
              <w:rPr>
                <w:rFonts w:cs="Arial"/>
              </w:rPr>
              <w:t xml:space="preserve">Informatizacija se posebice odnosi na procese u području upravljanja ljudskim kapacitetima, održavanju, upravljanju imovinom te provedbi investicijskih infrastrukturnih projekata. </w:t>
            </w:r>
          </w:p>
          <w:p w14:paraId="7774414C" w14:textId="77777777" w:rsidR="004002EB" w:rsidRPr="00FA7ACA" w:rsidRDefault="004002EB" w:rsidP="004002EB">
            <w:r w:rsidRPr="00FA7ACA">
              <w:rPr>
                <w:rFonts w:cs="Arial"/>
              </w:rPr>
              <w:t>Za provedbu navedenog uspostavit će se novi informatički sustavi te izvršiti edukacija osoblja za rad u okruženju novog sustava upravljanja.</w:t>
            </w:r>
          </w:p>
        </w:tc>
      </w:tr>
      <w:tr w:rsidR="004002EB" w14:paraId="05EC9B26" w14:textId="77777777" w:rsidTr="00E16CFB">
        <w:tc>
          <w:tcPr>
            <w:tcW w:w="2405" w:type="dxa"/>
            <w:vAlign w:val="center"/>
          </w:tcPr>
          <w:p w14:paraId="2C157EBB" w14:textId="77777777" w:rsidR="004002EB" w:rsidRPr="00E150FE" w:rsidRDefault="004002EB" w:rsidP="004002E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6" w:type="dxa"/>
            <w:vAlign w:val="center"/>
          </w:tcPr>
          <w:p w14:paraId="4FAB9E81" w14:textId="77777777" w:rsidR="004002EB" w:rsidRPr="00FA7ACA" w:rsidRDefault="004002EB" w:rsidP="004002EB">
            <w:r w:rsidRPr="00FA7ACA">
              <w:t xml:space="preserve">Uspostava sustava: 2024. </w:t>
            </w:r>
          </w:p>
        </w:tc>
      </w:tr>
    </w:tbl>
    <w:p w14:paraId="6108C3F0" w14:textId="77777777" w:rsidR="004002EB" w:rsidRDefault="004002EB" w:rsidP="00FD1407"/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4002EB" w:rsidRPr="00B84F84" w14:paraId="30D67B63" w14:textId="77777777" w:rsidTr="007C38CF">
        <w:tc>
          <w:tcPr>
            <w:tcW w:w="2405" w:type="dxa"/>
            <w:vAlign w:val="center"/>
          </w:tcPr>
          <w:p w14:paraId="2851C4CD" w14:textId="77777777" w:rsidR="004002EB" w:rsidRPr="00E150FE" w:rsidRDefault="004002EB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6" w:type="dxa"/>
            <w:vAlign w:val="center"/>
          </w:tcPr>
          <w:p w14:paraId="63F7B48D" w14:textId="43888633" w:rsidR="004002EB" w:rsidRPr="00B84F84" w:rsidRDefault="004002EB" w:rsidP="00E94B2B">
            <w:pPr>
              <w:rPr>
                <w:b/>
                <w:bCs/>
              </w:rPr>
            </w:pPr>
            <w:bookmarkStart w:id="85" w:name="_Hlk116027582"/>
            <w:r>
              <w:rPr>
                <w:b/>
                <w:bCs/>
              </w:rPr>
              <w:t>M 1.</w:t>
            </w:r>
            <w:r w:rsidR="004A563B">
              <w:rPr>
                <w:b/>
                <w:bCs/>
              </w:rPr>
              <w:t>5</w:t>
            </w:r>
            <w:r>
              <w:rPr>
                <w:b/>
                <w:bCs/>
              </w:rPr>
              <w:t>. (</w:t>
            </w:r>
            <w:r w:rsidR="004A563B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</w:t>
            </w:r>
            <w:r w:rsidR="00157571" w:rsidRPr="00157571">
              <w:rPr>
                <w:b/>
                <w:bCs/>
              </w:rPr>
              <w:t>Aktivacija i bolje iskorištavanje suvišne imovine javnih željezničkih društava</w:t>
            </w:r>
            <w:bookmarkEnd w:id="85"/>
          </w:p>
        </w:tc>
      </w:tr>
      <w:tr w:rsidR="004002EB" w14:paraId="73155C3D" w14:textId="77777777" w:rsidTr="007C38CF">
        <w:tc>
          <w:tcPr>
            <w:tcW w:w="2405" w:type="dxa"/>
            <w:vAlign w:val="center"/>
          </w:tcPr>
          <w:p w14:paraId="2F48499A" w14:textId="77777777" w:rsidR="004002EB" w:rsidRPr="007C38CF" w:rsidRDefault="004002EB" w:rsidP="00E94B2B">
            <w:pPr>
              <w:rPr>
                <w:b/>
                <w:bCs/>
              </w:rPr>
            </w:pPr>
            <w:r w:rsidRPr="007C38CF"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033C5B1C" w14:textId="5DEA3D3D" w:rsidR="002512FC" w:rsidRPr="007C38CF" w:rsidRDefault="002512FC" w:rsidP="002512FC">
            <w:r w:rsidRPr="007C38CF">
              <w:t xml:space="preserve">Javna željeznička društava raspolažu ili upravljaju značajnom imovinom i infrastrukturom koja trenutno nema jasnu gospodarsku primjenu te predstavljaju opterećenje u poslovanju. </w:t>
            </w:r>
            <w:r w:rsidR="00FA7ACA">
              <w:t>Uvođenjem</w:t>
            </w:r>
            <w:r w:rsidRPr="007C38CF">
              <w:t xml:space="preserve"> digitalnih rješenja </w:t>
            </w:r>
            <w:r w:rsidR="00FA7ACA">
              <w:t>(M1.4.) omogućit će se sistematično planiranje u cilju</w:t>
            </w:r>
            <w:r w:rsidRPr="007C38CF">
              <w:t xml:space="preserve"> smanjenj</w:t>
            </w:r>
            <w:r w:rsidR="00FA7ACA">
              <w:t>a</w:t>
            </w:r>
            <w:r w:rsidRPr="007C38CF">
              <w:t xml:space="preserve"> troškova upravljanja infrastrukturom i bolj</w:t>
            </w:r>
            <w:r w:rsidR="00FA7ACA">
              <w:t>eg</w:t>
            </w:r>
            <w:r w:rsidRPr="007C38CF">
              <w:t xml:space="preserve"> gospodarsk</w:t>
            </w:r>
            <w:r w:rsidR="00FA7ACA">
              <w:t>og</w:t>
            </w:r>
            <w:r w:rsidRPr="007C38CF">
              <w:t xml:space="preserve"> iskorištavanj</w:t>
            </w:r>
            <w:r w:rsidR="00FA7ACA">
              <w:t>a</w:t>
            </w:r>
            <w:r w:rsidRPr="007C38CF">
              <w:t xml:space="preserve"> aktivne i neaktivne željezničke infrastrukture. Također, potrebno je završiti podjelu imovine između društava u vlasništvu RH. U suradnji s JLP(R)S</w:t>
            </w:r>
            <w:r w:rsidR="0081236C">
              <w:t>-om</w:t>
            </w:r>
            <w:r w:rsidRPr="007C38CF">
              <w:t xml:space="preserve"> </w:t>
            </w:r>
            <w:r w:rsidR="00DA707A">
              <w:t xml:space="preserve">i nadležnim državnim odvjetništvom </w:t>
            </w:r>
            <w:r w:rsidR="00FA7ACA">
              <w:t>definirat će se</w:t>
            </w:r>
            <w:r w:rsidRPr="007C38CF">
              <w:t xml:space="preserve"> potreb</w:t>
            </w:r>
            <w:r w:rsidR="00FA7ACA">
              <w:t>a za</w:t>
            </w:r>
            <w:r w:rsidRPr="007C38CF">
              <w:t xml:space="preserve"> objek</w:t>
            </w:r>
            <w:r w:rsidR="00FA7ACA">
              <w:t xml:space="preserve">tima </w:t>
            </w:r>
            <w:r w:rsidRPr="007C38CF">
              <w:t xml:space="preserve">izvan uporabe kako bi se </w:t>
            </w:r>
            <w:r w:rsidR="00FA7ACA">
              <w:t xml:space="preserve">isti </w:t>
            </w:r>
            <w:r w:rsidRPr="007C38CF">
              <w:t>uklonil</w:t>
            </w:r>
            <w:r w:rsidR="00FA7ACA">
              <w:t>i</w:t>
            </w:r>
            <w:r w:rsidRPr="007C38CF">
              <w:t xml:space="preserve"> ili dal</w:t>
            </w:r>
            <w:r w:rsidR="00FA7ACA">
              <w:t>i</w:t>
            </w:r>
            <w:r w:rsidRPr="007C38CF">
              <w:t xml:space="preserve"> na korištenje. </w:t>
            </w:r>
          </w:p>
          <w:p w14:paraId="3D80038F" w14:textId="77777777" w:rsidR="004002EB" w:rsidRPr="007C38CF" w:rsidRDefault="005C4AE5" w:rsidP="003F4BC6">
            <w:r>
              <w:t>U cilju aktivacije imovine pod upravljanjem javnih željezničkih društava potrebno je izvršiti prilagodbu</w:t>
            </w:r>
            <w:r w:rsidR="002512FC" w:rsidRPr="007C38CF">
              <w:t xml:space="preserve"> postojećih zakona i podzakonskih akata </w:t>
            </w:r>
            <w:r>
              <w:t xml:space="preserve">kojom će se </w:t>
            </w:r>
            <w:r w:rsidR="002512FC" w:rsidRPr="007C38CF">
              <w:t>omogućit</w:t>
            </w:r>
            <w:r>
              <w:t>i</w:t>
            </w:r>
            <w:r w:rsidR="00FB1BD9">
              <w:t xml:space="preserve"> </w:t>
            </w:r>
            <w:r w:rsidR="002512FC" w:rsidRPr="007C38CF">
              <w:t xml:space="preserve">brži i fleksibilniji </w:t>
            </w:r>
            <w:r w:rsidR="002512FC" w:rsidRPr="007C38CF">
              <w:lastRenderedPageBreak/>
              <w:t>pristup u prenamjeni postojeće imovine</w:t>
            </w:r>
            <w:r w:rsidR="00FB1BD9">
              <w:t xml:space="preserve">. Potrebno </w:t>
            </w:r>
            <w:r w:rsidR="00193069">
              <w:t>je osigurati uvjete da se sredstva</w:t>
            </w:r>
            <w:r w:rsidR="00FB1BD9">
              <w:t xml:space="preserve"> </w:t>
            </w:r>
            <w:r w:rsidR="002512FC" w:rsidRPr="007C38CF">
              <w:t xml:space="preserve">ostvarena prodajom, najmom ili drugim načinima gospodarenja imovinom </w:t>
            </w:r>
            <w:r w:rsidR="0081236C">
              <w:t>iskoriste</w:t>
            </w:r>
            <w:r w:rsidR="002512FC" w:rsidRPr="007C38CF">
              <w:t xml:space="preserve"> za nove investicijske projekte</w:t>
            </w:r>
            <w:r w:rsidR="00193069">
              <w:t xml:space="preserve"> u suradnji s drugim nadležnim tijelima državne uprave</w:t>
            </w:r>
            <w:r w:rsidR="002512FC" w:rsidRPr="007C38CF">
              <w:t>.</w:t>
            </w:r>
          </w:p>
        </w:tc>
      </w:tr>
      <w:tr w:rsidR="004002EB" w14:paraId="2E751AF5" w14:textId="77777777" w:rsidTr="007C38CF">
        <w:tc>
          <w:tcPr>
            <w:tcW w:w="2405" w:type="dxa"/>
            <w:vAlign w:val="center"/>
          </w:tcPr>
          <w:p w14:paraId="15809875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Razdoblje provedbe:</w:t>
            </w:r>
          </w:p>
        </w:tc>
        <w:tc>
          <w:tcPr>
            <w:tcW w:w="6546" w:type="dxa"/>
            <w:vAlign w:val="center"/>
          </w:tcPr>
          <w:p w14:paraId="01658392" w14:textId="77777777" w:rsidR="004002EB" w:rsidRDefault="007C38CF" w:rsidP="00E94B2B">
            <w:r>
              <w:t xml:space="preserve">2024. </w:t>
            </w:r>
          </w:p>
        </w:tc>
      </w:tr>
    </w:tbl>
    <w:p w14:paraId="5D97F535" w14:textId="77777777" w:rsidR="00343E32" w:rsidRDefault="00343E32" w:rsidP="00FD1407"/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66481A" w:rsidRPr="00B84F84" w14:paraId="2B5C1333" w14:textId="77777777" w:rsidTr="007C38CF">
        <w:tc>
          <w:tcPr>
            <w:tcW w:w="2405" w:type="dxa"/>
            <w:vAlign w:val="center"/>
          </w:tcPr>
          <w:p w14:paraId="29A6CD2E" w14:textId="77777777" w:rsidR="0066481A" w:rsidRPr="00B84F84" w:rsidRDefault="0066481A" w:rsidP="00001FEA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21" w:type="dxa"/>
            <w:vAlign w:val="center"/>
          </w:tcPr>
          <w:p w14:paraId="7F1A3479" w14:textId="77777777" w:rsidR="0066481A" w:rsidRPr="00B84F84" w:rsidRDefault="00FC2DEA" w:rsidP="00001FEA">
            <w:pPr>
              <w:rPr>
                <w:b/>
                <w:bCs/>
              </w:rPr>
            </w:pPr>
            <w:bookmarkStart w:id="86" w:name="_Hlk115693718"/>
            <w:r>
              <w:rPr>
                <w:b/>
                <w:bCs/>
              </w:rPr>
              <w:t>M 1.</w:t>
            </w:r>
            <w:r w:rsidR="004A563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(R) </w:t>
            </w:r>
            <w:r w:rsidR="0026012E" w:rsidRPr="0026012E">
              <w:rPr>
                <w:b/>
                <w:bCs/>
              </w:rPr>
              <w:t xml:space="preserve">Financijsko i poslovno restrukturiranje društva HŽ </w:t>
            </w:r>
            <w:proofErr w:type="spellStart"/>
            <w:r w:rsidR="0026012E" w:rsidRPr="0026012E">
              <w:rPr>
                <w:b/>
                <w:bCs/>
              </w:rPr>
              <w:t>Cargo</w:t>
            </w:r>
            <w:bookmarkEnd w:id="86"/>
            <w:proofErr w:type="spellEnd"/>
            <w:r w:rsidR="0026012E">
              <w:rPr>
                <w:b/>
                <w:bCs/>
              </w:rPr>
              <w:t xml:space="preserve"> </w:t>
            </w:r>
          </w:p>
        </w:tc>
      </w:tr>
      <w:tr w:rsidR="0066481A" w14:paraId="3FB94F93" w14:textId="77777777" w:rsidTr="007C38CF">
        <w:tc>
          <w:tcPr>
            <w:tcW w:w="2405" w:type="dxa"/>
            <w:vAlign w:val="center"/>
          </w:tcPr>
          <w:p w14:paraId="06594E24" w14:textId="77777777" w:rsidR="0066481A" w:rsidRPr="0095008C" w:rsidRDefault="0000169F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21" w:type="dxa"/>
            <w:vAlign w:val="center"/>
          </w:tcPr>
          <w:p w14:paraId="2B1780EA" w14:textId="77777777" w:rsidR="00343E32" w:rsidRPr="00ED551A" w:rsidRDefault="00AA0F66" w:rsidP="00AA0F66">
            <w:r w:rsidRPr="00ED551A">
              <w:t xml:space="preserve">Provođenje plana kriznog upravljanja HŽ </w:t>
            </w:r>
            <w:proofErr w:type="spellStart"/>
            <w:r w:rsidRPr="00ED551A">
              <w:t>Cargo</w:t>
            </w:r>
            <w:proofErr w:type="spellEnd"/>
            <w:r w:rsidRPr="00ED551A">
              <w:t xml:space="preserve">-a i provedba svih predradnji za sveobuhvatno restrukturiranje društva. </w:t>
            </w:r>
            <w:r w:rsidR="0066481A" w:rsidRPr="00ED551A">
              <w:t xml:space="preserve">Za HŽ </w:t>
            </w:r>
            <w:proofErr w:type="spellStart"/>
            <w:r w:rsidR="0066481A" w:rsidRPr="00ED551A">
              <w:t>Cargo</w:t>
            </w:r>
            <w:proofErr w:type="spellEnd"/>
            <w:r w:rsidR="0066481A" w:rsidRPr="00ED551A">
              <w:t xml:space="preserve"> predviđeno je pronalaženje strateškog partnera. </w:t>
            </w:r>
          </w:p>
        </w:tc>
      </w:tr>
      <w:tr w:rsidR="0066481A" w14:paraId="739F9E8A" w14:textId="77777777" w:rsidTr="007C38CF">
        <w:tc>
          <w:tcPr>
            <w:tcW w:w="2405" w:type="dxa"/>
            <w:vAlign w:val="center"/>
          </w:tcPr>
          <w:p w14:paraId="432E8794" w14:textId="77777777" w:rsidR="0066481A" w:rsidRPr="0095008C" w:rsidRDefault="0066481A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21" w:type="dxa"/>
            <w:vAlign w:val="center"/>
          </w:tcPr>
          <w:p w14:paraId="6B14160D" w14:textId="77777777" w:rsidR="0066481A" w:rsidRPr="00ED551A" w:rsidRDefault="00AA0F66" w:rsidP="00001FEA">
            <w:r w:rsidRPr="00ED551A">
              <w:t>Postupak pronalaska strateškog partnera: 2023/2024</w:t>
            </w:r>
            <w:r w:rsidR="0066481A" w:rsidRPr="00ED551A">
              <w:t xml:space="preserve">. </w:t>
            </w:r>
          </w:p>
          <w:p w14:paraId="7C9ED007" w14:textId="77777777" w:rsidR="0066481A" w:rsidRPr="00ED551A" w:rsidRDefault="0066481A" w:rsidP="00001FEA">
            <w:r w:rsidRPr="00ED551A">
              <w:t xml:space="preserve">Restrukturiranje: 2023. </w:t>
            </w:r>
          </w:p>
        </w:tc>
      </w:tr>
    </w:tbl>
    <w:p w14:paraId="4D921A07" w14:textId="77777777" w:rsidR="003E6C65" w:rsidRDefault="003E6C65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3E6C65" w:rsidRPr="00B84F84" w14:paraId="2DBB0ABB" w14:textId="77777777" w:rsidTr="007C38CF">
        <w:tc>
          <w:tcPr>
            <w:tcW w:w="2405" w:type="dxa"/>
            <w:vAlign w:val="center"/>
          </w:tcPr>
          <w:p w14:paraId="78FD6F28" w14:textId="77777777" w:rsidR="003E6C65" w:rsidRPr="00E150FE" w:rsidRDefault="003E6C65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7" w:type="dxa"/>
          </w:tcPr>
          <w:p w14:paraId="2D9E51F6" w14:textId="77777777" w:rsidR="003E6C65" w:rsidRPr="00B84F84" w:rsidRDefault="00FC2DEA" w:rsidP="00E94B2B">
            <w:pPr>
              <w:rPr>
                <w:b/>
                <w:bCs/>
              </w:rPr>
            </w:pPr>
            <w:bookmarkStart w:id="87" w:name="_Hlk115695567"/>
            <w:r>
              <w:rPr>
                <w:b/>
                <w:bCs/>
              </w:rPr>
              <w:t>M 1.</w:t>
            </w:r>
            <w:r w:rsidR="004A563B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(R) </w:t>
            </w:r>
            <w:r w:rsidR="002A374D" w:rsidRPr="002A374D">
              <w:rPr>
                <w:b/>
                <w:bCs/>
              </w:rPr>
              <w:t>Jačanje (podizanje) stručnih kompetencija zaposlenika u željezničkom sustavu</w:t>
            </w:r>
            <w:bookmarkEnd w:id="87"/>
          </w:p>
        </w:tc>
      </w:tr>
      <w:tr w:rsidR="003E6C65" w14:paraId="36112700" w14:textId="77777777" w:rsidTr="007C38CF">
        <w:tc>
          <w:tcPr>
            <w:tcW w:w="2405" w:type="dxa"/>
            <w:vAlign w:val="center"/>
          </w:tcPr>
          <w:p w14:paraId="7B9782E5" w14:textId="77777777" w:rsidR="003E6C65" w:rsidRPr="00E150FE" w:rsidRDefault="003E6C65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7" w:type="dxa"/>
          </w:tcPr>
          <w:p w14:paraId="7E8578A8" w14:textId="77777777" w:rsidR="002A374D" w:rsidRDefault="002A374D" w:rsidP="00E94B2B">
            <w:r>
              <w:t xml:space="preserve">U cilju povećanja kapaciteta željezničkih društava provest će se program osposobljavanja osoblja u skladu sa specifičnim potrebama vezanim uz nove tehnologije i povećanje zahtjeva za nadzorom prometa i prometnih sredstava. </w:t>
            </w:r>
          </w:p>
          <w:p w14:paraId="6172D3C5" w14:textId="0EC0894D" w:rsidR="002A374D" w:rsidRDefault="002A374D" w:rsidP="00E94B2B">
            <w:r>
              <w:t xml:space="preserve">Uspostavit će se </w:t>
            </w:r>
            <w:r w:rsidRPr="003834F8">
              <w:t>program stipendiranja učenika i studenata sukladno potrebama željezničkih društava naročito za stjecanje znanja i vještina</w:t>
            </w:r>
            <w:r>
              <w:t xml:space="preserve"> </w:t>
            </w:r>
            <w:r w:rsidRPr="003834F8">
              <w:t>za primjenu suvremenih naprednih tehnologija u željezničkom sustavu.</w:t>
            </w:r>
            <w:r w:rsidR="009E0E17">
              <w:t xml:space="preserve"> </w:t>
            </w:r>
          </w:p>
          <w:p w14:paraId="0D330775" w14:textId="0B600513" w:rsidR="003E6C65" w:rsidRPr="00AF78D8" w:rsidRDefault="002A374D" w:rsidP="00E94B2B">
            <w:pPr>
              <w:rPr>
                <w:i/>
                <w:iCs/>
              </w:rPr>
            </w:pPr>
            <w:r>
              <w:t>Također, osnovat će se c</w:t>
            </w:r>
            <w:r w:rsidR="003E6C65" w:rsidRPr="00F578AF">
              <w:t>ent</w:t>
            </w:r>
            <w:r>
              <w:t>a</w:t>
            </w:r>
            <w:r w:rsidR="003E6C65" w:rsidRPr="00F578AF">
              <w:t>r kompetencija za željeznički sustav u Zagrebu koji uključuj</w:t>
            </w:r>
            <w:r w:rsidR="00430A16">
              <w:t>e</w:t>
            </w:r>
            <w:r w:rsidR="003E6C65" w:rsidRPr="00F578AF">
              <w:t xml:space="preserve"> uređenje moderne infrastrukture</w:t>
            </w:r>
            <w:r w:rsidR="00430A16">
              <w:t>;</w:t>
            </w:r>
            <w:r w:rsidR="003E6C65">
              <w:t xml:space="preserve"> doprinijet će razvoju znanja i vještina u željezničkom sektoru, osigurat će nedostajući kadar na tržištu te doprinijeti suradnji znanosti, obrazovanja i gospodarstva. </w:t>
            </w:r>
          </w:p>
          <w:p w14:paraId="79B1D3A4" w14:textId="77777777" w:rsidR="003E6C65" w:rsidRPr="002A374D" w:rsidRDefault="003E6C65" w:rsidP="00E94B2B">
            <w:r>
              <w:t>Osnivanje centra planira se u sklopu postojeće infrastrukture HŽI</w:t>
            </w:r>
            <w:r w:rsidR="00430A16">
              <w:t>-ja</w:t>
            </w:r>
            <w:r>
              <w:t xml:space="preserve"> uz sudjelovanje znanstvenih i obrazovnih institucija kao i drugih društava i tvrtki iz željezničkog sektora. Centrom će se omogućiti i dislocirani rad diljem Hrvatske </w:t>
            </w:r>
            <w:r w:rsidR="002F6281">
              <w:t>kao</w:t>
            </w:r>
            <w:r>
              <w:t xml:space="preserve"> i razmjena s inozemnim institucijama. </w:t>
            </w:r>
          </w:p>
        </w:tc>
      </w:tr>
      <w:tr w:rsidR="003E6C65" w14:paraId="5D79FAC4" w14:textId="77777777" w:rsidTr="007C38CF">
        <w:tc>
          <w:tcPr>
            <w:tcW w:w="2405" w:type="dxa"/>
            <w:vAlign w:val="center"/>
          </w:tcPr>
          <w:p w14:paraId="4B11FE8B" w14:textId="77777777" w:rsidR="003E6C65" w:rsidRPr="00E150FE" w:rsidRDefault="003E6C65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7" w:type="dxa"/>
          </w:tcPr>
          <w:p w14:paraId="0C5F08A5" w14:textId="77777777" w:rsidR="003E6C65" w:rsidRDefault="002A374D" w:rsidP="00E94B2B">
            <w:r>
              <w:t>Uspostava programa</w:t>
            </w:r>
            <w:r w:rsidR="003E6C65">
              <w:t>: 2023.</w:t>
            </w:r>
          </w:p>
          <w:p w14:paraId="34DB55DE" w14:textId="77777777" w:rsidR="002F6281" w:rsidRDefault="002F6281" w:rsidP="00E94B2B">
            <w:r>
              <w:t>Provedba: kontinuirano</w:t>
            </w:r>
          </w:p>
        </w:tc>
      </w:tr>
    </w:tbl>
    <w:p w14:paraId="2B96183B" w14:textId="77777777" w:rsidR="003E6C65" w:rsidRPr="003E6C65" w:rsidRDefault="003E6C65" w:rsidP="00FD1407"/>
    <w:p w14:paraId="382C5FE8" w14:textId="77777777" w:rsidR="005329AC" w:rsidRDefault="005329AC">
      <w:pPr>
        <w:spacing w:line="240" w:lineRule="auto"/>
        <w:jc w:val="left"/>
        <w:rPr>
          <w:color w:val="00338D"/>
          <w:sz w:val="24"/>
        </w:rPr>
      </w:pPr>
      <w:r>
        <w:br w:type="page"/>
      </w:r>
    </w:p>
    <w:p w14:paraId="19682445" w14:textId="77777777" w:rsidR="00E702EE" w:rsidRDefault="00CB667E" w:rsidP="00001FEA">
      <w:pPr>
        <w:pStyle w:val="Naslov3"/>
        <w:ind w:left="0" w:firstLine="0"/>
      </w:pPr>
      <w:bookmarkStart w:id="88" w:name="_Toc122335631"/>
      <w:r>
        <w:lastRenderedPageBreak/>
        <w:t>Mjere za provedbu PC</w:t>
      </w:r>
      <w:r w:rsidR="00E702EE">
        <w:t xml:space="preserve">2. </w:t>
      </w:r>
      <w:r w:rsidR="00FC2DEA" w:rsidRPr="00FC2DEA">
        <w:t>Unaprjeđenje usluga u željezničkom prijevozu</w:t>
      </w:r>
      <w:bookmarkEnd w:id="88"/>
      <w:r w:rsidR="00FC2DEA">
        <w:t xml:space="preserve"> </w:t>
      </w:r>
    </w:p>
    <w:p w14:paraId="4B442E80" w14:textId="77777777" w:rsidR="004002EB" w:rsidRPr="004002EB" w:rsidRDefault="004002EB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66481A" w:rsidRPr="00B84F84" w14:paraId="756E2780" w14:textId="77777777" w:rsidTr="006B5C43">
        <w:tc>
          <w:tcPr>
            <w:tcW w:w="2405" w:type="dxa"/>
            <w:vAlign w:val="center"/>
          </w:tcPr>
          <w:p w14:paraId="11B8D0A0" w14:textId="77777777" w:rsidR="0066481A" w:rsidRPr="00E150FE" w:rsidRDefault="0066481A" w:rsidP="00001FEA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7" w:type="dxa"/>
            <w:vAlign w:val="center"/>
          </w:tcPr>
          <w:p w14:paraId="7A2841B8" w14:textId="77777777" w:rsidR="0066481A" w:rsidRPr="00B84F84" w:rsidRDefault="00FC2DEA" w:rsidP="00001FEA">
            <w:pPr>
              <w:rPr>
                <w:b/>
                <w:bCs/>
              </w:rPr>
            </w:pPr>
            <w:bookmarkStart w:id="89" w:name="_Hlk115693745"/>
            <w:r>
              <w:rPr>
                <w:b/>
                <w:bCs/>
              </w:rPr>
              <w:t xml:space="preserve">M 2.1. (I) </w:t>
            </w:r>
            <w:r w:rsidR="0066481A">
              <w:rPr>
                <w:b/>
                <w:bCs/>
              </w:rPr>
              <w:t>Un</w:t>
            </w:r>
            <w:r w:rsidR="0066481A" w:rsidRPr="00924BF4">
              <w:rPr>
                <w:b/>
                <w:bCs/>
              </w:rPr>
              <w:t xml:space="preserve">aprjeđenje voznog parka za prijevoz putnika </w:t>
            </w:r>
            <w:bookmarkEnd w:id="89"/>
          </w:p>
        </w:tc>
      </w:tr>
      <w:tr w:rsidR="0066481A" w14:paraId="7A112E85" w14:textId="77777777" w:rsidTr="006B5C43">
        <w:tc>
          <w:tcPr>
            <w:tcW w:w="2405" w:type="dxa"/>
            <w:vAlign w:val="center"/>
          </w:tcPr>
          <w:p w14:paraId="1DEE5CDA" w14:textId="77777777" w:rsidR="0066481A" w:rsidRPr="00E150FE" w:rsidRDefault="0000169F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7" w:type="dxa"/>
            <w:vAlign w:val="center"/>
          </w:tcPr>
          <w:p w14:paraId="5C6CDAB4" w14:textId="77777777" w:rsidR="0066481A" w:rsidRPr="00ED551A" w:rsidRDefault="0066481A" w:rsidP="003F4BC6">
            <w:r w:rsidRPr="00F928BC">
              <w:t xml:space="preserve">Većina </w:t>
            </w:r>
            <w:r w:rsidR="00430A16">
              <w:t xml:space="preserve">je </w:t>
            </w:r>
            <w:r w:rsidRPr="00F928BC">
              <w:t xml:space="preserve">voznog parka HŽPP-a stara i uskoro će dosegnuti kraj životnog vijeka što zahtjeva značajna ulaganja u modernizaciju voznog parka uz </w:t>
            </w:r>
            <w:r w:rsidR="00935B0F">
              <w:t xml:space="preserve">veće </w:t>
            </w:r>
            <w:r w:rsidRPr="00F928BC">
              <w:t>korištenje nisko ugljičnih izvora energije i pogonskih sustava kao prioriteta.</w:t>
            </w:r>
            <w:r w:rsidR="00D97E57">
              <w:t xml:space="preserve"> </w:t>
            </w:r>
            <w:r>
              <w:t xml:space="preserve">U cilju </w:t>
            </w:r>
            <w:bookmarkStart w:id="90" w:name="_Hlk109304248"/>
            <w:r>
              <w:t xml:space="preserve">povećanja konkurentnosti i održivosti usluge prijevoza putnika željeznicom planira se </w:t>
            </w:r>
            <w:r w:rsidRPr="00ED551A">
              <w:t>modernizacija postojećeg voznog parka te nabavka novih vozila kojom bi se zamijenila stara vozila te uvela nova EMV, uključujući nabavku HMV</w:t>
            </w:r>
            <w:r w:rsidR="00430A16" w:rsidRPr="00ED551A">
              <w:t>-a</w:t>
            </w:r>
            <w:r w:rsidRPr="00ED551A">
              <w:t>, BMV</w:t>
            </w:r>
            <w:r w:rsidR="00430A16" w:rsidRPr="00ED551A">
              <w:t>-a</w:t>
            </w:r>
            <w:r w:rsidRPr="00ED551A">
              <w:t xml:space="preserve"> i BEMV</w:t>
            </w:r>
            <w:bookmarkEnd w:id="90"/>
            <w:r w:rsidR="00430A16" w:rsidRPr="00ED551A">
              <w:t>-a</w:t>
            </w:r>
            <w:r w:rsidRPr="00ED551A">
              <w:t xml:space="preserve">. </w:t>
            </w:r>
          </w:p>
          <w:p w14:paraId="570F1E7B" w14:textId="77777777" w:rsidR="004C65BA" w:rsidRPr="00BC4F2E" w:rsidRDefault="004C65BA" w:rsidP="003F4BC6">
            <w:r w:rsidRPr="00ED551A">
              <w:t>Nabavk</w:t>
            </w:r>
            <w:r w:rsidR="0097164E" w:rsidRPr="00ED551A">
              <w:t>a</w:t>
            </w:r>
            <w:r w:rsidRPr="00ED551A">
              <w:t xml:space="preserve"> vozila </w:t>
            </w:r>
            <w:r w:rsidR="0097164E" w:rsidRPr="00ED551A">
              <w:t xml:space="preserve">biti će provedena sukladno važećim EU i nacionalnim propisima </w:t>
            </w:r>
            <w:r w:rsidR="00F379E9" w:rsidRPr="00ED551A">
              <w:t>kojima je reguliran način dodjele sredstava za nabavku vozila prijevoznicima koji imaju potpisan važeći PSO ugovo</w:t>
            </w:r>
            <w:r w:rsidR="00FC2C8F" w:rsidRPr="00ED551A">
              <w:t>r</w:t>
            </w:r>
            <w:r w:rsidR="0006701B" w:rsidRPr="00ED551A">
              <w:t xml:space="preserve">, a </w:t>
            </w:r>
            <w:r w:rsidR="00FC2C8F" w:rsidRPr="00ED551A">
              <w:t>s</w:t>
            </w:r>
            <w:r w:rsidR="0006701B" w:rsidRPr="00ED551A">
              <w:t>ukladno sa</w:t>
            </w:r>
            <w:r w:rsidR="00FC2C8F" w:rsidRPr="00ED551A">
              <w:t xml:space="preserve"> člankom 93. Ugovora o funkcioniranju Europske unije. </w:t>
            </w:r>
          </w:p>
        </w:tc>
      </w:tr>
      <w:tr w:rsidR="0066481A" w14:paraId="455393F6" w14:textId="77777777" w:rsidTr="006B5C43">
        <w:tc>
          <w:tcPr>
            <w:tcW w:w="2405" w:type="dxa"/>
            <w:vAlign w:val="center"/>
          </w:tcPr>
          <w:p w14:paraId="00329C5B" w14:textId="77777777" w:rsidR="0066481A" w:rsidRPr="00E150FE" w:rsidRDefault="0066481A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7" w:type="dxa"/>
            <w:vAlign w:val="center"/>
          </w:tcPr>
          <w:p w14:paraId="30A5023C" w14:textId="77777777" w:rsidR="0066481A" w:rsidRDefault="00503C8B" w:rsidP="00001FEA">
            <w:r>
              <w:t xml:space="preserve">Kontinuirano </w:t>
            </w:r>
          </w:p>
        </w:tc>
      </w:tr>
    </w:tbl>
    <w:p w14:paraId="32601644" w14:textId="77777777" w:rsidR="00343E32" w:rsidRDefault="00343E32" w:rsidP="00FD1407"/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2405"/>
        <w:gridCol w:w="6521"/>
      </w:tblGrid>
      <w:tr w:rsidR="0066481A" w:rsidRPr="00B84F84" w14:paraId="6DBD0524" w14:textId="77777777" w:rsidTr="006B5C43">
        <w:tc>
          <w:tcPr>
            <w:tcW w:w="2405" w:type="dxa"/>
            <w:vAlign w:val="center"/>
          </w:tcPr>
          <w:p w14:paraId="2B42F6A3" w14:textId="77777777" w:rsidR="0066481A" w:rsidRPr="00E150FE" w:rsidRDefault="0066481A" w:rsidP="00001FEA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21" w:type="dxa"/>
            <w:vAlign w:val="center"/>
          </w:tcPr>
          <w:p w14:paraId="42FC8D14" w14:textId="77777777" w:rsidR="0066481A" w:rsidRPr="00B84F84" w:rsidRDefault="00FC2DEA" w:rsidP="00001FEA">
            <w:pPr>
              <w:rPr>
                <w:b/>
                <w:bCs/>
              </w:rPr>
            </w:pPr>
            <w:bookmarkStart w:id="91" w:name="_Hlk109304345"/>
            <w:r>
              <w:rPr>
                <w:b/>
                <w:bCs/>
              </w:rPr>
              <w:t xml:space="preserve">M 2.2. (I) </w:t>
            </w:r>
            <w:r w:rsidR="00193069">
              <w:rPr>
                <w:b/>
                <w:bCs/>
              </w:rPr>
              <w:t>Unaprjeđenje</w:t>
            </w:r>
            <w:r w:rsidR="00F37058">
              <w:rPr>
                <w:b/>
                <w:bCs/>
              </w:rPr>
              <w:t xml:space="preserve"> usluga održavanja putničkog voznog parka </w:t>
            </w:r>
            <w:bookmarkEnd w:id="91"/>
          </w:p>
        </w:tc>
      </w:tr>
      <w:tr w:rsidR="0066481A" w14:paraId="26B55AEC" w14:textId="77777777" w:rsidTr="006B5C43">
        <w:tc>
          <w:tcPr>
            <w:tcW w:w="2405" w:type="dxa"/>
            <w:vAlign w:val="center"/>
          </w:tcPr>
          <w:p w14:paraId="077B1DDC" w14:textId="77777777" w:rsidR="0066481A" w:rsidRPr="00E150FE" w:rsidRDefault="0000169F" w:rsidP="006B5C4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21" w:type="dxa"/>
            <w:vAlign w:val="center"/>
          </w:tcPr>
          <w:p w14:paraId="19352411" w14:textId="0EA47066" w:rsidR="00F23047" w:rsidRDefault="0066481A" w:rsidP="00D97E57">
            <w:r>
              <w:rPr>
                <w:rFonts w:cs="Arial"/>
              </w:rPr>
              <w:t>Nastavit će se</w:t>
            </w:r>
            <w:r w:rsidRPr="005625D4">
              <w:rPr>
                <w:rFonts w:cs="Arial"/>
              </w:rPr>
              <w:t xml:space="preserve"> priprema izgradnj</w:t>
            </w:r>
            <w:r>
              <w:rPr>
                <w:rFonts w:cs="Arial"/>
              </w:rPr>
              <w:t>e</w:t>
            </w:r>
            <w:r w:rsidR="00935B0F">
              <w:rPr>
                <w:rFonts w:cs="Arial"/>
              </w:rPr>
              <w:t xml:space="preserve"> i provesti investicija gradnj</w:t>
            </w:r>
            <w:r w:rsidR="007C38CF">
              <w:rPr>
                <w:rFonts w:cs="Arial"/>
              </w:rPr>
              <w:t>e</w:t>
            </w:r>
            <w:r w:rsidRPr="005625D4">
              <w:rPr>
                <w:rFonts w:cs="Arial"/>
              </w:rPr>
              <w:t xml:space="preserve"> modernog logističkog centra </w:t>
            </w:r>
            <w:bookmarkStart w:id="92" w:name="_Hlk109304388"/>
            <w:r w:rsidRPr="005625D4">
              <w:rPr>
                <w:rFonts w:cs="Arial"/>
              </w:rPr>
              <w:t xml:space="preserve">za gariranje i održavanje </w:t>
            </w:r>
            <w:r w:rsidR="0093681D">
              <w:rPr>
                <w:rFonts w:cs="Arial"/>
              </w:rPr>
              <w:t>vlakova</w:t>
            </w:r>
            <w:r w:rsidRPr="005625D4">
              <w:rPr>
                <w:rFonts w:cs="Arial"/>
              </w:rPr>
              <w:t xml:space="preserve"> </w:t>
            </w:r>
            <w:bookmarkEnd w:id="92"/>
            <w:r w:rsidRPr="005625D4">
              <w:rPr>
                <w:rFonts w:cs="Arial"/>
              </w:rPr>
              <w:t>na području Zagreb</w:t>
            </w:r>
            <w:r>
              <w:rPr>
                <w:rFonts w:cs="Arial"/>
              </w:rPr>
              <w:t xml:space="preserve"> Ranžirnog kolodvora</w:t>
            </w:r>
            <w:r w:rsidRPr="005625D4">
              <w:rPr>
                <w:rFonts w:cs="Arial"/>
              </w:rPr>
              <w:t xml:space="preserve">, </w:t>
            </w:r>
            <w:r w:rsidR="00935B0F">
              <w:rPr>
                <w:rFonts w:cs="Arial"/>
              </w:rPr>
              <w:t>dok</w:t>
            </w:r>
            <w:r w:rsidRPr="005625D4">
              <w:rPr>
                <w:rFonts w:cs="Arial"/>
              </w:rPr>
              <w:t xml:space="preserve"> bi se postojeća lokacija </w:t>
            </w:r>
            <w:r>
              <w:rPr>
                <w:rFonts w:cs="Arial"/>
              </w:rPr>
              <w:t>na području Zagreb G</w:t>
            </w:r>
            <w:r w:rsidR="00430A16">
              <w:rPr>
                <w:rFonts w:cs="Arial"/>
              </w:rPr>
              <w:t>K</w:t>
            </w:r>
            <w:r>
              <w:rPr>
                <w:rFonts w:cs="Arial"/>
              </w:rPr>
              <w:t xml:space="preserve"> </w:t>
            </w:r>
            <w:r w:rsidRPr="005625D4">
              <w:rPr>
                <w:rFonts w:cs="Arial"/>
              </w:rPr>
              <w:t>napustila i prenamijenila za druge potrebe.</w:t>
            </w:r>
            <w:r w:rsidR="00935B0F">
              <w:rPr>
                <w:rFonts w:cs="Arial"/>
              </w:rPr>
              <w:t xml:space="preserve"> </w:t>
            </w:r>
            <w:r>
              <w:t xml:space="preserve">Planirat će se i investicije u ostale glavne centre za održavanje u Varaždinu i Kninu, a po potrebi i u centre u Osijeku, Vinkovcima, Splitu i Puli. Priprema obuhvaća </w:t>
            </w:r>
            <w:r w:rsidRPr="003D70D5">
              <w:t>rješavanje imovinsko-pravnih odnosa, izrad</w:t>
            </w:r>
            <w:r>
              <w:t>u</w:t>
            </w:r>
            <w:r w:rsidRPr="003D70D5">
              <w:t xml:space="preserve"> dokumentacije kojom će se odrediti potrebni kapaciteti, oprema i tehnologije te izrad</w:t>
            </w:r>
            <w:r>
              <w:t>u</w:t>
            </w:r>
            <w:r w:rsidRPr="003D70D5">
              <w:t xml:space="preserve"> tehničke dokumentacije.</w:t>
            </w:r>
            <w:r w:rsidR="00D97E57">
              <w:t xml:space="preserve"> </w:t>
            </w:r>
            <w:r w:rsidR="0005794A" w:rsidRPr="0005794A">
              <w:t xml:space="preserve">Prilikom pripreme dokumentacije potrebno </w:t>
            </w:r>
            <w:r w:rsidR="0005794A">
              <w:t>uzeti će se u obzir</w:t>
            </w:r>
            <w:r w:rsidR="0005794A" w:rsidRPr="0005794A">
              <w:t xml:space="preserve"> i Tehničke smjernice za pripremu infrastrukture za klimatske promjene u razdoblju 2021. – 2027. (2021/C 373/01) kako bi se osigurao zajednički cilj klimatske neutralnosti i otpornosti na klimatske promjene.</w:t>
            </w:r>
            <w:r w:rsidR="0005794A">
              <w:t xml:space="preserve"> </w:t>
            </w:r>
            <w:r>
              <w:t xml:space="preserve">Također, kontinuirano </w:t>
            </w:r>
            <w:r w:rsidR="00C01C1E">
              <w:t xml:space="preserve">će se </w:t>
            </w:r>
            <w:r>
              <w:t>pratiti razvoj tehnologije i modernizirati centre za održavanje te ovisno o odabranim pogonskim tehnologijama vlakova, opremiti ih opremom pogodnom za njihovo održavanje. Dodatno, osim same nabave opreme, ulagat</w:t>
            </w:r>
            <w:r w:rsidR="00C01C1E">
              <w:t xml:space="preserve"> će se </w:t>
            </w:r>
            <w:r>
              <w:t>u edukaciju djelatnika.</w:t>
            </w:r>
            <w:r w:rsidR="00F23047">
              <w:t xml:space="preserve"> </w:t>
            </w:r>
          </w:p>
        </w:tc>
      </w:tr>
      <w:tr w:rsidR="0066481A" w14:paraId="0DEA648A" w14:textId="77777777" w:rsidTr="006B5C43">
        <w:tc>
          <w:tcPr>
            <w:tcW w:w="2405" w:type="dxa"/>
            <w:vAlign w:val="center"/>
          </w:tcPr>
          <w:p w14:paraId="166DD2CC" w14:textId="77777777" w:rsidR="0066481A" w:rsidRPr="00E150FE" w:rsidRDefault="0066481A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21" w:type="dxa"/>
            <w:vAlign w:val="center"/>
          </w:tcPr>
          <w:p w14:paraId="0E3CA565" w14:textId="77777777" w:rsidR="0066481A" w:rsidRDefault="0066481A" w:rsidP="00001FEA">
            <w:r>
              <w:t xml:space="preserve">Dovršena priprema TLC Zagreb: </w:t>
            </w:r>
            <w:r w:rsidR="00193069">
              <w:t xml:space="preserve">do </w:t>
            </w:r>
            <w:r>
              <w:t>2024</w:t>
            </w:r>
            <w:r w:rsidR="006A62ED">
              <w:t>.</w:t>
            </w:r>
          </w:p>
          <w:p w14:paraId="47A1B988" w14:textId="77777777" w:rsidR="0066481A" w:rsidRDefault="0066481A" w:rsidP="00001FEA">
            <w:r>
              <w:t xml:space="preserve">Izgrađen tehničko-logistički centar Zagreb: </w:t>
            </w:r>
            <w:r w:rsidR="00193069">
              <w:t xml:space="preserve">do </w:t>
            </w:r>
            <w:r>
              <w:t>2028</w:t>
            </w:r>
            <w:r w:rsidR="006A62ED">
              <w:t xml:space="preserve">. </w:t>
            </w:r>
          </w:p>
          <w:p w14:paraId="225765D5" w14:textId="77777777" w:rsidR="0066481A" w:rsidRDefault="0066481A" w:rsidP="00001FEA">
            <w:r>
              <w:t xml:space="preserve">Ostalo: kontinuirano </w:t>
            </w:r>
          </w:p>
        </w:tc>
      </w:tr>
    </w:tbl>
    <w:p w14:paraId="741FB289" w14:textId="77777777" w:rsidR="00D97E57" w:rsidRDefault="00D97E57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4002EB" w:rsidRPr="00B84F84" w14:paraId="590BAF47" w14:textId="77777777" w:rsidTr="006B5C43">
        <w:tc>
          <w:tcPr>
            <w:tcW w:w="2405" w:type="dxa"/>
            <w:vAlign w:val="center"/>
          </w:tcPr>
          <w:p w14:paraId="7F1118A4" w14:textId="77777777" w:rsidR="004002EB" w:rsidRPr="00E150FE" w:rsidRDefault="004002EB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lastRenderedPageBreak/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7" w:type="dxa"/>
            <w:vAlign w:val="center"/>
          </w:tcPr>
          <w:p w14:paraId="4DEB5AEA" w14:textId="77777777" w:rsidR="004002EB" w:rsidRPr="00B84F84" w:rsidRDefault="004002EB" w:rsidP="00E94B2B">
            <w:pPr>
              <w:rPr>
                <w:b/>
                <w:bCs/>
              </w:rPr>
            </w:pPr>
            <w:bookmarkStart w:id="93" w:name="_Hlk116027503"/>
            <w:r>
              <w:rPr>
                <w:b/>
                <w:bCs/>
              </w:rPr>
              <w:t>M 2.3. (</w:t>
            </w:r>
            <w:r w:rsidR="00320C41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) </w:t>
            </w:r>
            <w:r w:rsidR="00336674" w:rsidRPr="00336674">
              <w:rPr>
                <w:b/>
                <w:bCs/>
              </w:rPr>
              <w:t>Nadogradnja sustava za informiranje, informatičkog i prodajnog sustava te modernizacija vlakova s informatičkim sustavom</w:t>
            </w:r>
            <w:bookmarkEnd w:id="93"/>
          </w:p>
        </w:tc>
      </w:tr>
      <w:tr w:rsidR="004002EB" w14:paraId="3439FF54" w14:textId="77777777" w:rsidTr="006B5C43">
        <w:tc>
          <w:tcPr>
            <w:tcW w:w="2405" w:type="dxa"/>
            <w:vAlign w:val="center"/>
          </w:tcPr>
          <w:p w14:paraId="305022B1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7" w:type="dxa"/>
            <w:vAlign w:val="center"/>
          </w:tcPr>
          <w:p w14:paraId="0D4FA95C" w14:textId="77777777" w:rsidR="006224AD" w:rsidRDefault="006224AD" w:rsidP="006224AD">
            <w:r>
              <w:t xml:space="preserve">Korisniku usluge prijevoza potrebno je omogućiti kupovinu više različitih vrsta karata neovisno o dostupnosti i radnom vremenu blagajni HŽPP-a. Naglasak je na </w:t>
            </w:r>
            <w:r w:rsidR="00430A16">
              <w:t>e-</w:t>
            </w:r>
            <w:r>
              <w:t xml:space="preserve">kupovini prijevoznih karata i smanjenju opterećenosti klasičnih kanala prodaje. </w:t>
            </w:r>
            <w:r w:rsidR="00430A16">
              <w:t>E-</w:t>
            </w:r>
            <w:r>
              <w:t xml:space="preserve">sustav mora omogućiti putniku kupovinu svih prijevoznih ponuda i kategorije putnika, samostalno dodavanje novih prijevoznih ponuda i kategorija putnika, samostalno kreiranje, odnosno unos diferenciranih cijena na </w:t>
            </w:r>
            <w:r w:rsidR="00430A16" w:rsidRPr="008B14B0">
              <w:t xml:space="preserve">razdoblje </w:t>
            </w:r>
            <w:r w:rsidRPr="008B14B0">
              <w:t>dana, tjedan, mjesec prema vlaku</w:t>
            </w:r>
            <w:r>
              <w:t>, kanalu prodaje (</w:t>
            </w:r>
            <w:r w:rsidRPr="00CB2946">
              <w:rPr>
                <w:i/>
              </w:rPr>
              <w:t>web</w:t>
            </w:r>
            <w:r>
              <w:t>, pametni telefon)</w:t>
            </w:r>
            <w:r w:rsidR="00430A16">
              <w:t>,</w:t>
            </w:r>
            <w:r>
              <w:t xml:space="preserve"> odnosno vremenu kada je prijevozna karta kupljena kao i </w:t>
            </w:r>
            <w:r w:rsidRPr="008B14B0">
              <w:t xml:space="preserve">pregled na </w:t>
            </w:r>
            <w:r w:rsidRPr="00CB2946">
              <w:rPr>
                <w:i/>
              </w:rPr>
              <w:t>webu</w:t>
            </w:r>
            <w:r w:rsidRPr="008B14B0">
              <w:t xml:space="preserve"> podataka</w:t>
            </w:r>
            <w:r>
              <w:t xml:space="preserve"> na njihovoj pametnoj kartici (poda</w:t>
            </w:r>
            <w:r w:rsidR="00430A16">
              <w:t>t</w:t>
            </w:r>
            <w:r>
              <w:t xml:space="preserve">ci o kupljenim prijevoznim kartama i profilima). </w:t>
            </w:r>
            <w:r w:rsidR="00430A16">
              <w:t>E-</w:t>
            </w:r>
            <w:r>
              <w:t xml:space="preserve">prodaja prijevoznih karata obavlja se putem sučelja na </w:t>
            </w:r>
            <w:r w:rsidR="00430A16">
              <w:t xml:space="preserve">mrežnoj </w:t>
            </w:r>
            <w:r>
              <w:t xml:space="preserve">stranici HŽPP-a i putem mobilne aplikacije na pametnom telefonu. Sustav treba omogućiti da potencijalni korisnik usluge prijevoza može na jednostavan način odabrati i kupiti prijevoznu kartu i rezervaciju za željeno putovanje i vlak te obaviti plaćanje putem platežne kartice svih velikih banaka u Hrvatskoj. Namjena </w:t>
            </w:r>
            <w:r w:rsidR="00430A16">
              <w:t>je e-</w:t>
            </w:r>
            <w:r>
              <w:t xml:space="preserve">prodaje da korisniku olakša proces kupnje karte na način da mu uslugu omogući </w:t>
            </w:r>
            <w:proofErr w:type="spellStart"/>
            <w:r>
              <w:t>non</w:t>
            </w:r>
            <w:proofErr w:type="spellEnd"/>
            <w:r>
              <w:t>-stop dostupn</w:t>
            </w:r>
            <w:r w:rsidR="00430A16">
              <w:t>om</w:t>
            </w:r>
            <w:r>
              <w:t xml:space="preserve"> bez potrebe za dolaskom na prodajno mjesto. Dodatno</w:t>
            </w:r>
            <w:r w:rsidR="008733D3">
              <w:t>,</w:t>
            </w:r>
            <w:r>
              <w:t xml:space="preserve"> korisniku se pruža jednostavan način pristupa do informacija o voznom redu, prijevoznim ponudama te cijenama prijevoznih karata. </w:t>
            </w:r>
          </w:p>
          <w:p w14:paraId="4420E5B8" w14:textId="77777777" w:rsidR="006224AD" w:rsidRDefault="006224AD" w:rsidP="006224AD">
            <w:r>
              <w:t>Prodaja prijevoznih karata putem pametnih telefona treba omogućavati korisniku usluge kupnje karata na brz i jednostavan način iz svog doma, radnog mjesta, na kolodvoru pred vlakom</w:t>
            </w:r>
            <w:r w:rsidR="00430A16">
              <w:t xml:space="preserve">, </w:t>
            </w:r>
            <w:r>
              <w:t>u vlaku i sl. za sve relacije na HŽPP</w:t>
            </w:r>
            <w:r w:rsidR="00430A16">
              <w:t>-u</w:t>
            </w:r>
            <w:r>
              <w:t xml:space="preserve"> prema tarifnim propisima. </w:t>
            </w:r>
          </w:p>
          <w:p w14:paraId="3D199FA2" w14:textId="005685C4" w:rsidR="000067C3" w:rsidRDefault="00482392" w:rsidP="000067C3">
            <w:r>
              <w:t>E-p</w:t>
            </w:r>
            <w:r w:rsidR="006224AD">
              <w:t>rodaja prijevoznih karata omogućava korisniku usluge kupnj</w:t>
            </w:r>
            <w:r>
              <w:t>e</w:t>
            </w:r>
            <w:r w:rsidR="006224AD">
              <w:t xml:space="preserve"> karata od 0 do 24 sata na brz i jednostavan način iz svog doma, radnog mjesta i sl.</w:t>
            </w:r>
            <w:r w:rsidR="008733D3">
              <w:t>, a z</w:t>
            </w:r>
            <w:r w:rsidR="006224AD">
              <w:t>a sve relacije na HŽPP</w:t>
            </w:r>
            <w:r>
              <w:t>-u</w:t>
            </w:r>
            <w:r w:rsidR="006224AD">
              <w:t xml:space="preserve"> prema tarifnim propisima. </w:t>
            </w:r>
            <w:r w:rsidR="006224AD" w:rsidRPr="008B14B0">
              <w:t xml:space="preserve">Kako bi se mogla provesti modernizacija poslovnog procesa </w:t>
            </w:r>
            <w:r w:rsidR="008B14B0" w:rsidRPr="00CB2946">
              <w:t xml:space="preserve">u kojem kondukter </w:t>
            </w:r>
            <w:r w:rsidR="006224AD" w:rsidRPr="008B14B0">
              <w:t>prodaje prijevozn</w:t>
            </w:r>
            <w:r w:rsidR="008B14B0" w:rsidRPr="00CB2946">
              <w:t>e</w:t>
            </w:r>
            <w:r w:rsidR="006224AD" w:rsidRPr="008B14B0">
              <w:t xml:space="preserve"> kar</w:t>
            </w:r>
            <w:r w:rsidR="008B14B0" w:rsidRPr="00CB2946">
              <w:t>te</w:t>
            </w:r>
            <w:r w:rsidR="006224AD" w:rsidRPr="008B14B0">
              <w:t xml:space="preserve"> i rezervacij</w:t>
            </w:r>
            <w:r w:rsidR="008B14B0" w:rsidRPr="00CB2946">
              <w:t>e</w:t>
            </w:r>
            <w:r w:rsidR="006224AD" w:rsidRPr="008B14B0">
              <w:t xml:space="preserve"> u vlaku potrebno</w:t>
            </w:r>
            <w:r w:rsidR="006224AD" w:rsidRPr="006224AD">
              <w:t xml:space="preserve"> je definirati i izvršiti poslovne i tehničke zahtjeve koj</w:t>
            </w:r>
            <w:r>
              <w:t>i</w:t>
            </w:r>
            <w:r w:rsidR="006224AD" w:rsidRPr="006224AD">
              <w:t xml:space="preserve"> ujedno definiraju i opseg projekta</w:t>
            </w:r>
            <w:r w:rsidR="006224AD">
              <w:t xml:space="preserve">. </w:t>
            </w:r>
            <w:r w:rsidR="000067C3">
              <w:t>Postojeći terminali koje koriste kondukteri zamijenit će se modernim multifunkcijskim uređajima koji će imati i mogućnost beskontaktnog načina plaćanja što će rezultirati bržom i jednostavnijom prodajom karata.</w:t>
            </w:r>
            <w:r w:rsidR="009E0E17">
              <w:t xml:space="preserve"> </w:t>
            </w:r>
          </w:p>
          <w:p w14:paraId="1B0DD0E3" w14:textId="12564DF4" w:rsidR="006224AD" w:rsidRDefault="000067C3" w:rsidP="006224AD">
            <w:r w:rsidRPr="000067C3">
              <w:t xml:space="preserve">Nadogradnja sustava prodaje karata obuhvaća i ugradnju uređaja za prodaju karata i informiranje putnika u 70 novih niskopodnih vlakova. Planirana je ugradnja po </w:t>
            </w:r>
            <w:r w:rsidR="00482392">
              <w:t>dva</w:t>
            </w:r>
            <w:r w:rsidRPr="000067C3">
              <w:t xml:space="preserve"> uređaja po vlaku. Time će se otvoriti još jedan kanal jednostavne i brze prodaje karata.</w:t>
            </w:r>
            <w:r w:rsidR="009E0E17">
              <w:t xml:space="preserve"> </w:t>
            </w:r>
          </w:p>
          <w:p w14:paraId="7C134F6E" w14:textId="13F94164" w:rsidR="000067C3" w:rsidRDefault="000067C3" w:rsidP="000067C3">
            <w:r>
              <w:t>Nadogradnju prodajnog sustava pratit će nova cjenovna strategija i tarifna politika, uvođenje diferenciranih cijena karata te program lojalnosti.</w:t>
            </w:r>
            <w:r w:rsidR="009E0E17">
              <w:t xml:space="preserve"> </w:t>
            </w:r>
          </w:p>
          <w:p w14:paraId="0BDB2D4B" w14:textId="45DB7266" w:rsidR="00F23047" w:rsidRDefault="005E5A35" w:rsidP="006224AD">
            <w:r>
              <w:lastRenderedPageBreak/>
              <w:t>U vlakove je potrebno ugraditi sustave za mjerenje potrošnje energije, GPS sustav, sustav najave službenih mjesta</w:t>
            </w:r>
            <w:r w:rsidR="00F23047">
              <w:t xml:space="preserve">, WiFi sustav. </w:t>
            </w:r>
          </w:p>
          <w:p w14:paraId="7265534F" w14:textId="77777777" w:rsidR="00336674" w:rsidRDefault="00336674" w:rsidP="003F4BC6">
            <w:r>
              <w:t xml:space="preserve">Sukladno Uredbi EZ 1371/2007 o pravima i obvezama putnika u željezničkom prometu željeznički prijevoznik dužan </w:t>
            </w:r>
            <w:r w:rsidR="00482392">
              <w:t xml:space="preserve">je </w:t>
            </w:r>
            <w:r>
              <w:t xml:space="preserve">putniku prije putovanja na njegov upit </w:t>
            </w:r>
            <w:r w:rsidR="00482392">
              <w:t xml:space="preserve">dati </w:t>
            </w:r>
            <w:r>
              <w:t xml:space="preserve">najmanje one informacije o putovanjima za koja dotično željezničko poduzeće nudi ugovor o prijevozu. Potrebno je predvidjeti ugradnju samoposlužnih automata koji će omogućiti putniku dobivanje svih relevantnih informacija o putovanju na automatu. </w:t>
            </w:r>
            <w:proofErr w:type="spellStart"/>
            <w:r w:rsidRPr="005E5A35">
              <w:t>Samoposlužni</w:t>
            </w:r>
            <w:proofErr w:type="spellEnd"/>
            <w:r w:rsidRPr="005E5A35">
              <w:t xml:space="preserve"> automati mogu pomoći u ublažavanju porasta troškova rada i nedostatka resursa. Osim toga, povećavaju doseg do novih korisnika izvan poslovnice i doprinose efikasnosti.</w:t>
            </w:r>
          </w:p>
        </w:tc>
      </w:tr>
      <w:tr w:rsidR="004002EB" w14:paraId="5E4770BF" w14:textId="77777777" w:rsidTr="006B5C43">
        <w:tc>
          <w:tcPr>
            <w:tcW w:w="2405" w:type="dxa"/>
            <w:vAlign w:val="center"/>
          </w:tcPr>
          <w:p w14:paraId="3004F649" w14:textId="77777777" w:rsidR="004002EB" w:rsidRPr="00E150FE" w:rsidRDefault="004002EB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Razdoblje provedbe:</w:t>
            </w:r>
          </w:p>
        </w:tc>
        <w:tc>
          <w:tcPr>
            <w:tcW w:w="6547" w:type="dxa"/>
            <w:vAlign w:val="center"/>
          </w:tcPr>
          <w:p w14:paraId="49690DE9" w14:textId="77777777" w:rsidR="004002EB" w:rsidRDefault="004002EB" w:rsidP="00E94B2B">
            <w:r>
              <w:t xml:space="preserve">Proveden projekt: 2024. </w:t>
            </w:r>
          </w:p>
        </w:tc>
      </w:tr>
    </w:tbl>
    <w:p w14:paraId="75BD25B3" w14:textId="77777777" w:rsidR="004002EB" w:rsidRDefault="004002EB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C95087" w:rsidRPr="00B84F84" w14:paraId="02E28027" w14:textId="77777777" w:rsidTr="006B5C43">
        <w:tc>
          <w:tcPr>
            <w:tcW w:w="2405" w:type="dxa"/>
            <w:vAlign w:val="center"/>
          </w:tcPr>
          <w:p w14:paraId="745C4DD1" w14:textId="77777777" w:rsidR="00C95087" w:rsidRPr="00E150FE" w:rsidRDefault="00C95087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7" w:type="dxa"/>
            <w:vAlign w:val="center"/>
          </w:tcPr>
          <w:p w14:paraId="14224CA1" w14:textId="77777777" w:rsidR="00C95087" w:rsidRPr="00B84F84" w:rsidRDefault="00C95087" w:rsidP="00E94B2B">
            <w:pPr>
              <w:rPr>
                <w:b/>
                <w:bCs/>
              </w:rPr>
            </w:pPr>
            <w:bookmarkStart w:id="94" w:name="_Hlk116027517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(R) </w:t>
            </w:r>
            <w:r w:rsidR="00405932" w:rsidRPr="00405932">
              <w:rPr>
                <w:b/>
                <w:bCs/>
              </w:rPr>
              <w:t>Uvođenje taktnog voznog reda</w:t>
            </w:r>
            <w:bookmarkEnd w:id="94"/>
          </w:p>
        </w:tc>
      </w:tr>
      <w:tr w:rsidR="00C95087" w14:paraId="78D2710B" w14:textId="77777777" w:rsidTr="006B5C43">
        <w:tc>
          <w:tcPr>
            <w:tcW w:w="2405" w:type="dxa"/>
            <w:vAlign w:val="center"/>
          </w:tcPr>
          <w:p w14:paraId="465B0C78" w14:textId="77777777" w:rsidR="00C95087" w:rsidRPr="00E150FE" w:rsidRDefault="00C95087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7" w:type="dxa"/>
            <w:vAlign w:val="center"/>
          </w:tcPr>
          <w:p w14:paraId="2DFA2932" w14:textId="77777777" w:rsidR="00C95087" w:rsidRDefault="00C95087" w:rsidP="00F23047">
            <w:r>
              <w:t>Potrebno je konstant</w:t>
            </w:r>
            <w:r w:rsidR="00482392">
              <w:t>n</w:t>
            </w:r>
            <w:r>
              <w:t>o vrednovanje operativnih rezultata i prilagođavanje voznih redova pojedinih linija. Prilagodbe se mogu sastojati u pomicanju vremena polaska/dolaska, omogućavanju presjedanja, produljenju/skraćenju linija i ukidanju, odnosno uključivanju pojedinih stajališta na trasi vlakova višeg ranga.</w:t>
            </w:r>
            <w:r w:rsidR="00F23047">
              <w:t xml:space="preserve"> </w:t>
            </w:r>
            <w:r>
              <w:t>Preduvjet za prilagodbu voznih redova trebaju biti operativni rezultati i povratne informacije putnika. Također, osim operativnih rezultata i povratnih informacija putnika, na potrebu za prilagodbu voznih redova može utjecati stanje infrastrukture, promjene u potražnji (brzi razvoj pojedinih gradova, politike promocije javnog prijevoza, pandemije, oružani sukobi drugih zemalja, itd.) i drugi faktori</w:t>
            </w:r>
            <w:r w:rsidR="00717FD5">
              <w:t xml:space="preserve">. </w:t>
            </w:r>
          </w:p>
          <w:p w14:paraId="710B2639" w14:textId="057E151D" w:rsidR="004042FF" w:rsidRDefault="00717FD5" w:rsidP="00F23047">
            <w:r>
              <w:t>Provedb</w:t>
            </w:r>
            <w:r w:rsidR="009E0E17">
              <w:t>a</w:t>
            </w:r>
            <w:r>
              <w:t xml:space="preserve"> ove mjere uskladit će se s provedbom mjere </w:t>
            </w:r>
            <w:r w:rsidRPr="00717FD5">
              <w:t>M 2.7. (R) Uvođenje integriranog prijevoza putnika</w:t>
            </w:r>
            <w:r>
              <w:t xml:space="preserve"> kako bi se vozni red vlakova uskladio s drugim vrstama prijevoza. </w:t>
            </w:r>
          </w:p>
          <w:p w14:paraId="53C64859" w14:textId="77777777" w:rsidR="004042FF" w:rsidRDefault="004042FF" w:rsidP="00F23047">
            <w:r>
              <w:t>Izradit</w:t>
            </w:r>
            <w:r w:rsidR="00482392">
              <w:t xml:space="preserve"> će se</w:t>
            </w:r>
            <w:r>
              <w:t xml:space="preserve"> analiz</w:t>
            </w:r>
            <w:r w:rsidR="00482392">
              <w:t>a</w:t>
            </w:r>
            <w:r>
              <w:t xml:space="preserve"> i uvesti taktni vozni red na željezničkim prugama </w:t>
            </w:r>
            <w:r w:rsidR="00482392">
              <w:t xml:space="preserve">s </w:t>
            </w:r>
            <w:r>
              <w:t xml:space="preserve">obzirom na </w:t>
            </w:r>
            <w:r w:rsidRPr="004042FF">
              <w:t>tehničke i organizacijske preduvjete za provedbu</w:t>
            </w:r>
            <w:r w:rsidR="00482392">
              <w:t>.</w:t>
            </w:r>
          </w:p>
        </w:tc>
      </w:tr>
      <w:tr w:rsidR="00C95087" w14:paraId="0A6D1786" w14:textId="77777777" w:rsidTr="006B5C43">
        <w:tc>
          <w:tcPr>
            <w:tcW w:w="2405" w:type="dxa"/>
            <w:vAlign w:val="center"/>
          </w:tcPr>
          <w:p w14:paraId="3C47B6B8" w14:textId="77777777" w:rsidR="00C95087" w:rsidRPr="00E150FE" w:rsidRDefault="00C95087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7" w:type="dxa"/>
            <w:vAlign w:val="center"/>
          </w:tcPr>
          <w:p w14:paraId="26399746" w14:textId="77777777" w:rsidR="00C95087" w:rsidRDefault="00AA5CCC" w:rsidP="00E94B2B">
            <w:r>
              <w:t>K</w:t>
            </w:r>
            <w:r w:rsidR="00C95087">
              <w:t xml:space="preserve">ontinuirano </w:t>
            </w:r>
          </w:p>
        </w:tc>
      </w:tr>
    </w:tbl>
    <w:p w14:paraId="162C20E9" w14:textId="77777777" w:rsidR="00C95087" w:rsidRDefault="00C95087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C95087" w:rsidRPr="00B84F84" w14:paraId="3787C54D" w14:textId="77777777" w:rsidTr="006B5C43">
        <w:tc>
          <w:tcPr>
            <w:tcW w:w="2405" w:type="dxa"/>
            <w:vAlign w:val="center"/>
          </w:tcPr>
          <w:p w14:paraId="35F74B15" w14:textId="77777777" w:rsidR="00C95087" w:rsidRPr="00E150FE" w:rsidRDefault="00C95087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7" w:type="dxa"/>
            <w:vAlign w:val="center"/>
          </w:tcPr>
          <w:p w14:paraId="6B08468F" w14:textId="016830B5" w:rsidR="00C95087" w:rsidRPr="00B84F84" w:rsidRDefault="00C95087" w:rsidP="00E94B2B">
            <w:pPr>
              <w:rPr>
                <w:b/>
                <w:bCs/>
              </w:rPr>
            </w:pPr>
            <w:bookmarkStart w:id="95" w:name="_Hlk116027521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(R) </w:t>
            </w:r>
            <w:r w:rsidR="00157571" w:rsidRPr="00157571">
              <w:rPr>
                <w:b/>
                <w:bCs/>
              </w:rPr>
              <w:t>Unaprjeđenje ponude usluga u putničkom prijevozu prema zahtjevima korisnika</w:t>
            </w:r>
            <w:bookmarkEnd w:id="95"/>
          </w:p>
        </w:tc>
      </w:tr>
      <w:tr w:rsidR="00C95087" w14:paraId="01308425" w14:textId="77777777" w:rsidTr="006B5C43">
        <w:tc>
          <w:tcPr>
            <w:tcW w:w="2405" w:type="dxa"/>
            <w:vAlign w:val="center"/>
          </w:tcPr>
          <w:p w14:paraId="6EA8DD6E" w14:textId="77777777" w:rsidR="00C95087" w:rsidRPr="00E150FE" w:rsidRDefault="00C95087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7" w:type="dxa"/>
            <w:vAlign w:val="center"/>
          </w:tcPr>
          <w:p w14:paraId="5F43C995" w14:textId="77777777" w:rsidR="00C95087" w:rsidRDefault="00C95087" w:rsidP="00C95087">
            <w:r>
              <w:t xml:space="preserve">Da bi se dodatno povećalo zadovoljstvo putnika, ali i povećali prihodi, potrebno je ponuditi dodatne usluge tijekom putovanja. Usluge prijevoza automobila i noćni vlakovi već postoje na nekim HŽPP-ovim linijama te je iste potrebno proširiti i na druge prikladne linije. Dodatne usluge poput prijevoza bicikala, ponude hrane i pića, prijevoza prtljage „od vrata do vrata“ itd. moguće je postupno uvesti na duže linije (budući da bi na istima mogle imati veću potražnju), a kasnije i na ostale linije. Ponudu hrane i pića </w:t>
            </w:r>
            <w:r>
              <w:lastRenderedPageBreak/>
              <w:t xml:space="preserve">prvotno </w:t>
            </w:r>
            <w:r w:rsidR="00482392">
              <w:t xml:space="preserve">bi </w:t>
            </w:r>
            <w:r>
              <w:t xml:space="preserve">moglo nuditi osoblje kroz vlak na kolicima ili bi se mogli uvesti automati u vlakovima, a nakon provedbe detaljnije analize, na dužim linijama mogu </w:t>
            </w:r>
            <w:r w:rsidR="00482392">
              <w:t xml:space="preserve">se </w:t>
            </w:r>
            <w:r>
              <w:t xml:space="preserve">uvesti i vagon restorani. </w:t>
            </w:r>
            <w:r w:rsidR="00482392">
              <w:t>Rezultat ovih usluga bio bi</w:t>
            </w:r>
            <w:r>
              <w:t xml:space="preserve"> povećanje atraktivnosti željezničkog prijevoza što bi pridonijelo povećanju broja korisnika te posljedično i povećanju prihoda.</w:t>
            </w:r>
          </w:p>
          <w:p w14:paraId="46994673" w14:textId="77777777" w:rsidR="00C95087" w:rsidRDefault="00C95087" w:rsidP="00C95087">
            <w:r>
              <w:t>Preduvjeti za realizaciju mjere ovise o pojedinoj dodatnoj usluzi, pa je tako primjerice za prijevoz bicikala potreban poseban odjeljak ili vagon u vlaku za smještaj bicikala, za prijevoz automobila vagon za prijevoz automobila, dok je za gastro ponudu potrebno imati vagon restoran, automate s pićima i grickalicama ili operativno osoblje koje bi posluživalo putnike.</w:t>
            </w:r>
          </w:p>
        </w:tc>
      </w:tr>
      <w:tr w:rsidR="00C95087" w14:paraId="3D437A92" w14:textId="77777777" w:rsidTr="006B5C43">
        <w:tc>
          <w:tcPr>
            <w:tcW w:w="2405" w:type="dxa"/>
            <w:vAlign w:val="center"/>
          </w:tcPr>
          <w:p w14:paraId="3D4A352A" w14:textId="77777777" w:rsidR="00C95087" w:rsidRPr="00E150FE" w:rsidRDefault="00C95087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Razdoblje provedbe:</w:t>
            </w:r>
          </w:p>
        </w:tc>
        <w:tc>
          <w:tcPr>
            <w:tcW w:w="6547" w:type="dxa"/>
            <w:vAlign w:val="center"/>
          </w:tcPr>
          <w:p w14:paraId="62E66F2A" w14:textId="77777777" w:rsidR="00C95087" w:rsidRDefault="00F20313" w:rsidP="00E94B2B">
            <w:r w:rsidRPr="00F20313">
              <w:t>2023.</w:t>
            </w:r>
          </w:p>
        </w:tc>
      </w:tr>
    </w:tbl>
    <w:p w14:paraId="60C2047C" w14:textId="77777777" w:rsidR="004F09B7" w:rsidRDefault="004F09B7" w:rsidP="00FD1407">
      <w:pPr>
        <w:rPr>
          <w:highlight w:val="yellow"/>
        </w:rPr>
      </w:pPr>
    </w:p>
    <w:tbl>
      <w:tblPr>
        <w:tblStyle w:val="Reetkatablice"/>
        <w:tblW w:w="8950" w:type="dxa"/>
        <w:tblLook w:val="04A0" w:firstRow="1" w:lastRow="0" w:firstColumn="1" w:lastColumn="0" w:noHBand="0" w:noVBand="1"/>
      </w:tblPr>
      <w:tblGrid>
        <w:gridCol w:w="2405"/>
        <w:gridCol w:w="6545"/>
      </w:tblGrid>
      <w:tr w:rsidR="003E6C65" w:rsidRPr="00B84F84" w14:paraId="0C172D4A" w14:textId="77777777" w:rsidTr="006B5C43">
        <w:tc>
          <w:tcPr>
            <w:tcW w:w="2405" w:type="dxa"/>
            <w:vAlign w:val="center"/>
          </w:tcPr>
          <w:p w14:paraId="0E32F3E6" w14:textId="77777777" w:rsidR="003E6C65" w:rsidRPr="00E150FE" w:rsidRDefault="003E6C65" w:rsidP="00E94B2B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45" w:type="dxa"/>
            <w:vAlign w:val="center"/>
          </w:tcPr>
          <w:p w14:paraId="53C372C7" w14:textId="77777777" w:rsidR="003E6C65" w:rsidRPr="00B84F84" w:rsidRDefault="00FC2DEA" w:rsidP="00E94B2B">
            <w:pPr>
              <w:rPr>
                <w:b/>
                <w:bCs/>
              </w:rPr>
            </w:pPr>
            <w:bookmarkStart w:id="96" w:name="_Hlk115693762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(R) </w:t>
            </w:r>
            <w:r w:rsidR="003E6C65" w:rsidRPr="004D204A">
              <w:rPr>
                <w:b/>
                <w:bCs/>
              </w:rPr>
              <w:t>Uvođenje integriranog prijevoza putnika</w:t>
            </w:r>
            <w:bookmarkEnd w:id="96"/>
          </w:p>
        </w:tc>
      </w:tr>
      <w:tr w:rsidR="003E6C65" w14:paraId="70140080" w14:textId="77777777" w:rsidTr="006B5C43">
        <w:tc>
          <w:tcPr>
            <w:tcW w:w="2405" w:type="dxa"/>
            <w:vAlign w:val="center"/>
          </w:tcPr>
          <w:p w14:paraId="7031200F" w14:textId="77777777" w:rsidR="003E6C65" w:rsidRPr="00E150FE" w:rsidRDefault="003E6C65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45" w:type="dxa"/>
            <w:vAlign w:val="center"/>
          </w:tcPr>
          <w:p w14:paraId="27A7D7C9" w14:textId="77777777" w:rsidR="00C11D34" w:rsidRDefault="003E6C65" w:rsidP="00D97E57">
            <w:r w:rsidRPr="004D204A">
              <w:t xml:space="preserve">Paralelno </w:t>
            </w:r>
            <w:r>
              <w:t xml:space="preserve">uz ulaganja u prometnu infrastrukturu i prijevozna sredstva </w:t>
            </w:r>
            <w:r w:rsidRPr="004D204A">
              <w:t>uspostavit</w:t>
            </w:r>
            <w:r>
              <w:t xml:space="preserve"> će se</w:t>
            </w:r>
            <w:r w:rsidRPr="004D204A">
              <w:t xml:space="preserve"> integralni sustav upravljanja željezničkim i cestovnim prometom na dotičnom području.</w:t>
            </w:r>
            <w:r>
              <w:t xml:space="preserve"> Uvođenje integriranog prijevoza planira se na području Zagreba, Splita, Rijeke</w:t>
            </w:r>
            <w:r w:rsidR="00C95087">
              <w:t>, Varaždina</w:t>
            </w:r>
            <w:r>
              <w:t xml:space="preserve"> i Osijeka pa samim time i integralnog sustava upravljanja, </w:t>
            </w:r>
            <w:r w:rsidR="000D09A7">
              <w:t xml:space="preserve">a </w:t>
            </w:r>
            <w:r>
              <w:t xml:space="preserve">sve u cilju rasterećenja cestovnog prometa i smanjenja negativnog utjecaja na okoliš. </w:t>
            </w:r>
          </w:p>
          <w:p w14:paraId="6D0E0911" w14:textId="77777777" w:rsidR="00C95087" w:rsidRDefault="00C95087" w:rsidP="00D97E57">
            <w:r>
              <w:t>Provest će se ulaganja u postavljanje novih ili modernizaciju postojećih digitaliziranih i/ili inteligentnih gradskih i prigradskih sustava javnog prijevoza za putnike što izrav</w:t>
            </w:r>
            <w:r w:rsidR="000D09A7">
              <w:t>no</w:t>
            </w:r>
            <w:r>
              <w:t xml:space="preserve"> pozitivn</w:t>
            </w:r>
            <w:r w:rsidR="000D09A7">
              <w:t>o</w:t>
            </w:r>
            <w:r>
              <w:t xml:space="preserve"> </w:t>
            </w:r>
            <w:r w:rsidR="000D09A7">
              <w:t xml:space="preserve">utječe </w:t>
            </w:r>
            <w:r>
              <w:t>na prometni sustav većih gradova jer vodi do poboljšanja performansi prometnog sustava u vidu smanjenja prometnih zagušenja i čepova, povećanja sigurnosti, efikasnosti i održivosti prometa racionalnij</w:t>
            </w:r>
            <w:r w:rsidR="000D09A7">
              <w:t>im</w:t>
            </w:r>
            <w:r>
              <w:t xml:space="preserve"> korištenje</w:t>
            </w:r>
            <w:r w:rsidR="000D09A7">
              <w:t>m</w:t>
            </w:r>
            <w:r>
              <w:t xml:space="preserve"> pogonskih goriva što će rezultirati smanjenjem emisije štetnih plinova te doprinijeti poboljšanju kvalitete zraka. </w:t>
            </w:r>
            <w:bookmarkStart w:id="97" w:name="_Hlk109305721"/>
            <w:r>
              <w:t xml:space="preserve">Uvođenjem ITS-a </w:t>
            </w:r>
            <w:bookmarkEnd w:id="97"/>
            <w:r>
              <w:t>ujedno se određivanje</w:t>
            </w:r>
            <w:r w:rsidR="000D09A7">
              <w:t>m</w:t>
            </w:r>
            <w:r>
              <w:t xml:space="preserve"> prioriteta u javnom prometu poboljšava integracija prometnih </w:t>
            </w:r>
            <w:r w:rsidR="00DE7A65">
              <w:t>oblika</w:t>
            </w:r>
            <w:r>
              <w:t>.</w:t>
            </w:r>
          </w:p>
          <w:p w14:paraId="4E7EC337" w14:textId="77777777" w:rsidR="003E6C65" w:rsidRPr="00F874FA" w:rsidRDefault="003E6C65" w:rsidP="00D97E57">
            <w:r>
              <w:t>Osim integriranog prijevoza putnika osnovat će se Prometne uprave čiji bi zadatak bio integracija svih prijevoznika i provedba svih zadataka vezanih uz integrirani prijevoz putnika. Usvojit</w:t>
            </w:r>
            <w:r w:rsidR="00C11D34">
              <w:t xml:space="preserve"> će se i </w:t>
            </w:r>
            <w:r w:rsidRPr="00802288">
              <w:t xml:space="preserve">zakonodavni okvir kojim </w:t>
            </w:r>
            <w:r>
              <w:t>će</w:t>
            </w:r>
            <w:r w:rsidRPr="00802288">
              <w:t xml:space="preserve"> se osigura</w:t>
            </w:r>
            <w:r>
              <w:t>t</w:t>
            </w:r>
            <w:r w:rsidR="00C11D34">
              <w:t>i</w:t>
            </w:r>
            <w:r w:rsidRPr="00802288">
              <w:t xml:space="preserve"> razvoj integriranog prijevoza putnika u </w:t>
            </w:r>
            <w:r w:rsidR="00C11D34">
              <w:t>Republici Hrvatskoj</w:t>
            </w:r>
            <w:r w:rsidRPr="00802288">
              <w:t xml:space="preserve">. </w:t>
            </w:r>
          </w:p>
        </w:tc>
      </w:tr>
      <w:tr w:rsidR="003E6C65" w14:paraId="2CD2537D" w14:textId="77777777" w:rsidTr="006B5C43">
        <w:tc>
          <w:tcPr>
            <w:tcW w:w="2405" w:type="dxa"/>
            <w:vAlign w:val="center"/>
          </w:tcPr>
          <w:p w14:paraId="4A642171" w14:textId="77777777" w:rsidR="003E6C65" w:rsidRPr="00E150FE" w:rsidRDefault="003E6C65" w:rsidP="00E94B2B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45" w:type="dxa"/>
            <w:vAlign w:val="center"/>
          </w:tcPr>
          <w:p w14:paraId="529AA54C" w14:textId="77777777" w:rsidR="003E6C65" w:rsidRDefault="003E6C65" w:rsidP="00E94B2B">
            <w:r>
              <w:t xml:space="preserve">Osnovane Prometne uprave u urbanim područjima do 2024. </w:t>
            </w:r>
          </w:p>
          <w:p w14:paraId="11C42529" w14:textId="77777777" w:rsidR="003E6C65" w:rsidRDefault="003E6C65" w:rsidP="00E94B2B">
            <w:r>
              <w:t>Uveden integrirani prijevoz putnika na urbanim područjima 2024.</w:t>
            </w:r>
          </w:p>
        </w:tc>
      </w:tr>
    </w:tbl>
    <w:p w14:paraId="1BD9A1BA" w14:textId="77777777" w:rsidR="00D5657C" w:rsidRDefault="00D5657C" w:rsidP="00FD1407"/>
    <w:tbl>
      <w:tblPr>
        <w:tblStyle w:val="Reetkatablice"/>
        <w:tblW w:w="8951" w:type="dxa"/>
        <w:tblLook w:val="04A0" w:firstRow="1" w:lastRow="0" w:firstColumn="1" w:lastColumn="0" w:noHBand="0" w:noVBand="1"/>
      </w:tblPr>
      <w:tblGrid>
        <w:gridCol w:w="2405"/>
        <w:gridCol w:w="6546"/>
      </w:tblGrid>
      <w:tr w:rsidR="0066481A" w:rsidRPr="0012096F" w14:paraId="15B90113" w14:textId="77777777" w:rsidTr="006B5C43">
        <w:tc>
          <w:tcPr>
            <w:tcW w:w="2405" w:type="dxa"/>
            <w:vAlign w:val="center"/>
          </w:tcPr>
          <w:p w14:paraId="071E22B5" w14:textId="77777777" w:rsidR="0066481A" w:rsidRPr="0012096F" w:rsidRDefault="0066481A" w:rsidP="00001FEA">
            <w:pPr>
              <w:rPr>
                <w:b/>
                <w:bCs/>
              </w:rPr>
            </w:pPr>
            <w:r w:rsidRPr="0012096F">
              <w:rPr>
                <w:b/>
                <w:bCs/>
              </w:rPr>
              <w:t>Naziv mjere:</w:t>
            </w:r>
          </w:p>
        </w:tc>
        <w:tc>
          <w:tcPr>
            <w:tcW w:w="6546" w:type="dxa"/>
            <w:vAlign w:val="center"/>
          </w:tcPr>
          <w:p w14:paraId="2A262DD5" w14:textId="77777777" w:rsidR="0066481A" w:rsidRPr="0012096F" w:rsidRDefault="00FC2DEA" w:rsidP="00001FEA">
            <w:pPr>
              <w:rPr>
                <w:b/>
                <w:bCs/>
              </w:rPr>
            </w:pPr>
            <w:bookmarkStart w:id="98" w:name="_Hlk115693778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7</w:t>
            </w:r>
            <w:r>
              <w:rPr>
                <w:b/>
                <w:bCs/>
              </w:rPr>
              <w:t>. (</w:t>
            </w:r>
            <w:r w:rsidR="0007771C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</w:t>
            </w:r>
            <w:r w:rsidR="0066481A" w:rsidRPr="0012096F">
              <w:rPr>
                <w:b/>
                <w:bCs/>
              </w:rPr>
              <w:t>Poticanje usluge teretno</w:t>
            </w:r>
            <w:r w:rsidR="00802288" w:rsidRPr="0012096F">
              <w:rPr>
                <w:b/>
                <w:bCs/>
              </w:rPr>
              <w:t>g</w:t>
            </w:r>
            <w:r w:rsidR="0066481A" w:rsidRPr="0012096F">
              <w:rPr>
                <w:b/>
                <w:bCs/>
              </w:rPr>
              <w:t xml:space="preserve"> željezničkog prijevoza</w:t>
            </w:r>
            <w:bookmarkEnd w:id="98"/>
          </w:p>
        </w:tc>
      </w:tr>
      <w:tr w:rsidR="0066481A" w:rsidRPr="0012096F" w14:paraId="68373FE0" w14:textId="77777777" w:rsidTr="006B5C43">
        <w:tc>
          <w:tcPr>
            <w:tcW w:w="2405" w:type="dxa"/>
            <w:vAlign w:val="center"/>
          </w:tcPr>
          <w:p w14:paraId="756AEE52" w14:textId="77777777" w:rsidR="0066481A" w:rsidRPr="0012096F" w:rsidRDefault="0000169F" w:rsidP="00001FEA">
            <w:pPr>
              <w:rPr>
                <w:b/>
                <w:bCs/>
              </w:rPr>
            </w:pPr>
            <w:r w:rsidRPr="0012096F">
              <w:rPr>
                <w:b/>
                <w:bCs/>
              </w:rPr>
              <w:t>Opis mjere:</w:t>
            </w:r>
          </w:p>
        </w:tc>
        <w:tc>
          <w:tcPr>
            <w:tcW w:w="6546" w:type="dxa"/>
            <w:vAlign w:val="center"/>
          </w:tcPr>
          <w:p w14:paraId="2245B760" w14:textId="77777777" w:rsidR="00F87B49" w:rsidRDefault="0066481A" w:rsidP="00001FEA">
            <w:r w:rsidRPr="0012096F">
              <w:t>Poticanje usluge teretnog željezničkog prijevoza osigurat će se potpor</w:t>
            </w:r>
            <w:r w:rsidR="000D09A7">
              <w:t>ama</w:t>
            </w:r>
            <w:r w:rsidRPr="0012096F">
              <w:t xml:space="preserve"> za kombinirani prijevoz tereta, prijevoz pojedinačnih vagonskih pošiljaka te ostalih </w:t>
            </w:r>
            <w:bookmarkStart w:id="99" w:name="_Hlk109305001"/>
            <w:r w:rsidRPr="0012096F">
              <w:t xml:space="preserve">komercijalno neisplativih usluga </w:t>
            </w:r>
            <w:r w:rsidRPr="0012096F">
              <w:lastRenderedPageBreak/>
              <w:t>teretnog prijevoza</w:t>
            </w:r>
            <w:bookmarkEnd w:id="99"/>
            <w:r w:rsidRPr="0012096F">
              <w:t xml:space="preserve"> što će doprinijeti financijskoj održivosti poslovanja prijevoznika</w:t>
            </w:r>
            <w:r w:rsidR="00D049B4" w:rsidRPr="0012096F">
              <w:t>.</w:t>
            </w:r>
            <w:r w:rsidR="00F87B49">
              <w:t xml:space="preserve"> </w:t>
            </w:r>
          </w:p>
          <w:p w14:paraId="6798B3D1" w14:textId="77777777" w:rsidR="00F87B49" w:rsidRPr="00F87B49" w:rsidRDefault="00F87B49" w:rsidP="00001FEA">
            <w:r>
              <w:t xml:space="preserve">Izradit će se analiza i metodologija za provođenje ove mjere te </w:t>
            </w:r>
            <w:r w:rsidR="0007771C">
              <w:t xml:space="preserve">osigurati </w:t>
            </w:r>
            <w:r>
              <w:t xml:space="preserve">potrebna financijska sredstva. </w:t>
            </w:r>
          </w:p>
        </w:tc>
      </w:tr>
      <w:tr w:rsidR="0066481A" w:rsidRPr="0012096F" w14:paraId="47A12CEA" w14:textId="77777777" w:rsidTr="006B5C43">
        <w:tc>
          <w:tcPr>
            <w:tcW w:w="2405" w:type="dxa"/>
            <w:vAlign w:val="center"/>
          </w:tcPr>
          <w:p w14:paraId="2A9A643F" w14:textId="77777777" w:rsidR="0066481A" w:rsidRPr="0012096F" w:rsidRDefault="0066481A" w:rsidP="00001FEA">
            <w:pPr>
              <w:rPr>
                <w:b/>
                <w:bCs/>
              </w:rPr>
            </w:pPr>
            <w:r w:rsidRPr="0012096F">
              <w:rPr>
                <w:b/>
                <w:bCs/>
              </w:rPr>
              <w:lastRenderedPageBreak/>
              <w:t>Razdoblje provedbe:</w:t>
            </w:r>
          </w:p>
        </w:tc>
        <w:tc>
          <w:tcPr>
            <w:tcW w:w="6546" w:type="dxa"/>
            <w:vAlign w:val="center"/>
          </w:tcPr>
          <w:p w14:paraId="00047FA2" w14:textId="77777777" w:rsidR="0066481A" w:rsidRPr="0012096F" w:rsidRDefault="0066481A" w:rsidP="00001FEA">
            <w:r w:rsidRPr="0012096F">
              <w:t>Provedba programa poticanja: kontinuirano</w:t>
            </w:r>
            <w:r w:rsidR="006A62ED" w:rsidRPr="0012096F">
              <w:t xml:space="preserve"> </w:t>
            </w:r>
          </w:p>
        </w:tc>
      </w:tr>
    </w:tbl>
    <w:p w14:paraId="0D44D64B" w14:textId="77777777" w:rsidR="005329AC" w:rsidRDefault="005329AC" w:rsidP="00FD1407"/>
    <w:tbl>
      <w:tblPr>
        <w:tblStyle w:val="Reetkatablice"/>
        <w:tblW w:w="8952" w:type="dxa"/>
        <w:tblLook w:val="04A0" w:firstRow="1" w:lastRow="0" w:firstColumn="1" w:lastColumn="0" w:noHBand="0" w:noVBand="1"/>
      </w:tblPr>
      <w:tblGrid>
        <w:gridCol w:w="2405"/>
        <w:gridCol w:w="6547"/>
      </w:tblGrid>
      <w:tr w:rsidR="0066481A" w:rsidRPr="0012096F" w14:paraId="0A1EE8D8" w14:textId="77777777" w:rsidTr="006B5C43">
        <w:tc>
          <w:tcPr>
            <w:tcW w:w="2405" w:type="dxa"/>
            <w:vAlign w:val="center"/>
          </w:tcPr>
          <w:p w14:paraId="35BB8ECD" w14:textId="77777777" w:rsidR="0066481A" w:rsidRPr="0012096F" w:rsidRDefault="0066481A" w:rsidP="00001FEA">
            <w:pPr>
              <w:rPr>
                <w:b/>
                <w:bCs/>
              </w:rPr>
            </w:pPr>
            <w:bookmarkStart w:id="100" w:name="_Hlk116027539"/>
            <w:r w:rsidRPr="0012096F">
              <w:rPr>
                <w:b/>
                <w:bCs/>
              </w:rPr>
              <w:t>Naziv mjere:</w:t>
            </w:r>
          </w:p>
        </w:tc>
        <w:tc>
          <w:tcPr>
            <w:tcW w:w="6547" w:type="dxa"/>
            <w:vAlign w:val="center"/>
          </w:tcPr>
          <w:p w14:paraId="77621DD2" w14:textId="77777777" w:rsidR="0066481A" w:rsidRPr="0012096F" w:rsidRDefault="00FC2DEA" w:rsidP="00001FEA">
            <w:pPr>
              <w:rPr>
                <w:b/>
                <w:bCs/>
              </w:rPr>
            </w:pPr>
            <w:bookmarkStart w:id="101" w:name="_Hlk115693786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(I) </w:t>
            </w:r>
            <w:r w:rsidR="0066481A" w:rsidRPr="0012096F">
              <w:rPr>
                <w:b/>
                <w:bCs/>
              </w:rPr>
              <w:t>Unaprjeđenje voznog parka za prijevoz tereta</w:t>
            </w:r>
            <w:bookmarkEnd w:id="101"/>
          </w:p>
        </w:tc>
      </w:tr>
      <w:bookmarkEnd w:id="100"/>
      <w:tr w:rsidR="0066481A" w:rsidRPr="0012096F" w14:paraId="04A2912D" w14:textId="77777777" w:rsidTr="006B5C43">
        <w:tc>
          <w:tcPr>
            <w:tcW w:w="2405" w:type="dxa"/>
            <w:vAlign w:val="center"/>
          </w:tcPr>
          <w:p w14:paraId="5ED75B24" w14:textId="77777777" w:rsidR="0066481A" w:rsidRPr="0012096F" w:rsidRDefault="0000169F" w:rsidP="00001FEA">
            <w:pPr>
              <w:rPr>
                <w:b/>
                <w:bCs/>
              </w:rPr>
            </w:pPr>
            <w:r w:rsidRPr="0012096F">
              <w:rPr>
                <w:b/>
                <w:bCs/>
              </w:rPr>
              <w:t>Opis mjere:</w:t>
            </w:r>
          </w:p>
        </w:tc>
        <w:tc>
          <w:tcPr>
            <w:tcW w:w="6547" w:type="dxa"/>
            <w:vAlign w:val="center"/>
          </w:tcPr>
          <w:p w14:paraId="06D06885" w14:textId="77777777" w:rsidR="001A2DF0" w:rsidRDefault="001A2DF0" w:rsidP="001A2DF0">
            <w:r>
              <w:t>Potrebno je izraditi program državnih potpora i provesti postupak dodjele sredstava za sufinanciranje ulaganja</w:t>
            </w:r>
            <w:r w:rsidR="00193069">
              <w:t xml:space="preserve"> u modernizaciju postojećeg voznog park</w:t>
            </w:r>
            <w:r w:rsidR="00C7743C">
              <w:t>a javnih i privatnih prijevoznika</w:t>
            </w:r>
            <w:r w:rsidR="00AA5CCC">
              <w:t>.</w:t>
            </w:r>
          </w:p>
          <w:p w14:paraId="04467423" w14:textId="77777777" w:rsidR="0066481A" w:rsidRDefault="001A2DF0" w:rsidP="001A2DF0">
            <w:r>
              <w:t>Potpore će se dodjeljivati kao potpore za koordinaciju prometa u skladu sa Smjernicama Zajednice o državnim potporama poduzetnicima u željezničkom prometu (SL C 184, 22.7.2008.) odnosno člankom 93. Ugovora o funkcioniranju Europske unije, a koje navode kako su dozvoljene potpore za promicanje interoperabilnosti i, u opsegu u kojem to zadovoljava potrebe koordinacije prometa, potpore za promicanje veće sigurnosti, uklanjanje tehničkih prepreka i smanjivanje zagađenja bukom u sektoru željezničkog prometa te koje navode kako prihvatljivi troškovi obuhvaćaju ulaganja vezana uz ugradnju sustava sigurnosti i interoperabilnost, odnosno uz smanjenje buke i u željezničkoj infrastrukturi i u voznom parku.</w:t>
            </w:r>
            <w:r w:rsidR="00C73B1E">
              <w:t xml:space="preserve"> </w:t>
            </w:r>
          </w:p>
          <w:p w14:paraId="1DE21093" w14:textId="77777777" w:rsidR="001A2DF0" w:rsidRPr="0012096F" w:rsidRDefault="001A2DF0" w:rsidP="001A2DF0">
            <w:r>
              <w:t>S</w:t>
            </w:r>
            <w:r w:rsidRPr="001A2DF0">
              <w:t>ukladno točki 107. (c) Smjernica Zajednice o državnim potporama poduzetnicima u željezničkom prometu iznos potpore ne smije premašiti 50</w:t>
            </w:r>
            <w:r w:rsidR="000D09A7">
              <w:t xml:space="preserve"> </w:t>
            </w:r>
            <w:r w:rsidRPr="001A2DF0">
              <w:t>% opravdanih troškova</w:t>
            </w:r>
            <w:r>
              <w:t xml:space="preserve">. </w:t>
            </w:r>
          </w:p>
        </w:tc>
      </w:tr>
      <w:tr w:rsidR="0066481A" w:rsidRPr="0012096F" w14:paraId="02570B1B" w14:textId="77777777" w:rsidTr="006B5C43">
        <w:tc>
          <w:tcPr>
            <w:tcW w:w="2405" w:type="dxa"/>
            <w:vAlign w:val="center"/>
          </w:tcPr>
          <w:p w14:paraId="6BA8208B" w14:textId="77777777" w:rsidR="0066481A" w:rsidRPr="0012096F" w:rsidRDefault="0066481A" w:rsidP="00001FEA">
            <w:pPr>
              <w:rPr>
                <w:b/>
                <w:bCs/>
              </w:rPr>
            </w:pPr>
            <w:r w:rsidRPr="0012096F">
              <w:rPr>
                <w:b/>
                <w:bCs/>
              </w:rPr>
              <w:t>Razdoblje provedbe:</w:t>
            </w:r>
          </w:p>
        </w:tc>
        <w:tc>
          <w:tcPr>
            <w:tcW w:w="6547" w:type="dxa"/>
            <w:vAlign w:val="center"/>
          </w:tcPr>
          <w:p w14:paraId="2BF5735A" w14:textId="14D62091" w:rsidR="0066481A" w:rsidRPr="0012096F" w:rsidRDefault="00157571" w:rsidP="00001FEA">
            <w:r>
              <w:t>do</w:t>
            </w:r>
            <w:r w:rsidR="0018174B">
              <w:t xml:space="preserve"> 2030. </w:t>
            </w:r>
          </w:p>
        </w:tc>
      </w:tr>
    </w:tbl>
    <w:p w14:paraId="6051C241" w14:textId="77777777" w:rsidR="0049603B" w:rsidRDefault="0049603B" w:rsidP="00FD1407"/>
    <w:tbl>
      <w:tblPr>
        <w:tblStyle w:val="Reetkatablice"/>
        <w:tblW w:w="8961" w:type="dxa"/>
        <w:tblLook w:val="04A0" w:firstRow="1" w:lastRow="0" w:firstColumn="1" w:lastColumn="0" w:noHBand="0" w:noVBand="1"/>
      </w:tblPr>
      <w:tblGrid>
        <w:gridCol w:w="2405"/>
        <w:gridCol w:w="6556"/>
      </w:tblGrid>
      <w:tr w:rsidR="0066481A" w:rsidRPr="00B84F84" w14:paraId="08D90E13" w14:textId="77777777" w:rsidTr="006B5C43">
        <w:tc>
          <w:tcPr>
            <w:tcW w:w="2405" w:type="dxa"/>
            <w:vAlign w:val="center"/>
          </w:tcPr>
          <w:p w14:paraId="3B962157" w14:textId="77777777" w:rsidR="0066481A" w:rsidRPr="00E150FE" w:rsidRDefault="0066481A" w:rsidP="00001FEA">
            <w:pPr>
              <w:rPr>
                <w:b/>
                <w:bCs/>
              </w:rPr>
            </w:pPr>
            <w:r w:rsidRPr="00E150FE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mjere</w:t>
            </w:r>
            <w:r w:rsidRPr="00E150FE">
              <w:rPr>
                <w:b/>
                <w:bCs/>
              </w:rPr>
              <w:t>:</w:t>
            </w:r>
          </w:p>
        </w:tc>
        <w:tc>
          <w:tcPr>
            <w:tcW w:w="6556" w:type="dxa"/>
          </w:tcPr>
          <w:p w14:paraId="0989DC67" w14:textId="77777777" w:rsidR="0066481A" w:rsidRPr="00B84F84" w:rsidRDefault="00FC2DEA" w:rsidP="00001FEA">
            <w:pPr>
              <w:rPr>
                <w:b/>
                <w:bCs/>
              </w:rPr>
            </w:pPr>
            <w:bookmarkStart w:id="102" w:name="_Hlk115695953"/>
            <w:r>
              <w:rPr>
                <w:b/>
                <w:bCs/>
              </w:rPr>
              <w:t>M 2.</w:t>
            </w:r>
            <w:r w:rsidR="00336674">
              <w:rPr>
                <w:b/>
                <w:bCs/>
              </w:rPr>
              <w:t>9</w:t>
            </w:r>
            <w:r>
              <w:rPr>
                <w:b/>
                <w:bCs/>
              </w:rPr>
              <w:t>. (</w:t>
            </w:r>
            <w:r w:rsidR="00F87B49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</w:t>
            </w:r>
            <w:r w:rsidR="00CF56ED">
              <w:rPr>
                <w:b/>
                <w:bCs/>
              </w:rPr>
              <w:t>Unapr</w:t>
            </w:r>
            <w:r w:rsidR="000D09A7">
              <w:rPr>
                <w:b/>
                <w:bCs/>
              </w:rPr>
              <w:t>j</w:t>
            </w:r>
            <w:r w:rsidR="00CF56ED">
              <w:rPr>
                <w:b/>
                <w:bCs/>
              </w:rPr>
              <w:t>eđenje usluga intermodalnog prijevoza</w:t>
            </w:r>
            <w:r w:rsidR="00F37058">
              <w:rPr>
                <w:b/>
                <w:bCs/>
              </w:rPr>
              <w:t xml:space="preserve"> </w:t>
            </w:r>
            <w:bookmarkEnd w:id="102"/>
          </w:p>
        </w:tc>
      </w:tr>
      <w:tr w:rsidR="0066481A" w14:paraId="1D800B0A" w14:textId="77777777" w:rsidTr="006B5C43">
        <w:tc>
          <w:tcPr>
            <w:tcW w:w="2405" w:type="dxa"/>
            <w:vAlign w:val="center"/>
          </w:tcPr>
          <w:p w14:paraId="09FD9A4A" w14:textId="77777777" w:rsidR="0066481A" w:rsidRPr="00E150FE" w:rsidRDefault="0000169F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Opis mjere:</w:t>
            </w:r>
          </w:p>
        </w:tc>
        <w:tc>
          <w:tcPr>
            <w:tcW w:w="6556" w:type="dxa"/>
          </w:tcPr>
          <w:p w14:paraId="6114C2E0" w14:textId="77777777" w:rsidR="0066481A" w:rsidRDefault="0066481A" w:rsidP="00001FEA">
            <w:r w:rsidRPr="00704871">
              <w:t>Ulaganja u razvoj</w:t>
            </w:r>
            <w:r>
              <w:t xml:space="preserve"> i</w:t>
            </w:r>
            <w:r w:rsidRPr="00704871">
              <w:t xml:space="preserve"> izgradnju teretnih logističkih centara preduvjet </w:t>
            </w:r>
            <w:r w:rsidR="000D09A7">
              <w:t>su</w:t>
            </w:r>
            <w:r w:rsidRPr="00704871">
              <w:t xml:space="preserve"> za ostvarenje viših stopa rasta teretnog prijevoza i širenje logističke ponude.</w:t>
            </w:r>
            <w:r w:rsidR="00F87B49">
              <w:t xml:space="preserve"> </w:t>
            </w:r>
          </w:p>
          <w:p w14:paraId="7484FBD7" w14:textId="77777777" w:rsidR="00F87B49" w:rsidRDefault="00F87B49" w:rsidP="00001FEA">
            <w:r>
              <w:t>Nakon izgradnje logističkih centara omogućit će se uv</w:t>
            </w:r>
            <w:r w:rsidR="00730522">
              <w:t xml:space="preserve">ođenje novih usluga intermodalnog prijevoza, povećati broj direktnih vlakova iz luka prema unutrašnjosti kao i omogućiti uvođenje međunarodnog prijevoza intermodalnih jedinica do terminala. </w:t>
            </w:r>
          </w:p>
          <w:p w14:paraId="2CBE5999" w14:textId="77777777" w:rsidR="008C77C2" w:rsidRPr="00704871" w:rsidRDefault="0066481A" w:rsidP="00001FEA">
            <w:r w:rsidRPr="00F928BC">
              <w:t xml:space="preserve">Kvalitetne usluge te terminali omogućit će povećanje udjela željezničkog prijevoza te smanjenje troškova prijevoza, naročito na duljim relacijama. </w:t>
            </w:r>
          </w:p>
        </w:tc>
      </w:tr>
      <w:tr w:rsidR="0066481A" w14:paraId="7FBD7AAA" w14:textId="77777777" w:rsidTr="006B5C43">
        <w:tc>
          <w:tcPr>
            <w:tcW w:w="2405" w:type="dxa"/>
            <w:vAlign w:val="center"/>
          </w:tcPr>
          <w:p w14:paraId="54344AE9" w14:textId="77777777" w:rsidR="0066481A" w:rsidRPr="00E150FE" w:rsidRDefault="0066481A" w:rsidP="00001FEA">
            <w:pPr>
              <w:rPr>
                <w:b/>
                <w:bCs/>
              </w:rPr>
            </w:pPr>
            <w:r>
              <w:rPr>
                <w:b/>
                <w:bCs/>
              </w:rPr>
              <w:t>Razdoblje provedbe:</w:t>
            </w:r>
          </w:p>
        </w:tc>
        <w:tc>
          <w:tcPr>
            <w:tcW w:w="6556" w:type="dxa"/>
          </w:tcPr>
          <w:p w14:paraId="752AA309" w14:textId="77777777" w:rsidR="0066481A" w:rsidRDefault="004042FF" w:rsidP="00001FEA">
            <w:r>
              <w:t xml:space="preserve">Kontinuirano </w:t>
            </w:r>
          </w:p>
        </w:tc>
      </w:tr>
      <w:bookmarkEnd w:id="78"/>
      <w:bookmarkEnd w:id="79"/>
    </w:tbl>
    <w:p w14:paraId="2317C944" w14:textId="77777777" w:rsidR="00817609" w:rsidRDefault="00817609" w:rsidP="00001FEA">
      <w:pPr>
        <w:spacing w:line="240" w:lineRule="auto"/>
        <w:jc w:val="left"/>
      </w:pPr>
      <w:r>
        <w:br w:type="page"/>
      </w:r>
    </w:p>
    <w:p w14:paraId="6290F2C5" w14:textId="77777777" w:rsidR="00817609" w:rsidRDefault="00817609" w:rsidP="00134788">
      <w:pPr>
        <w:pStyle w:val="Naslov1"/>
        <w:tabs>
          <w:tab w:val="clear" w:pos="4384"/>
          <w:tab w:val="num" w:pos="0"/>
        </w:tabs>
        <w:ind w:left="0" w:firstLine="0"/>
      </w:pPr>
      <w:bookmarkStart w:id="103" w:name="_Ref115872047"/>
      <w:bookmarkStart w:id="104" w:name="_Toc122335632"/>
      <w:r w:rsidRPr="00817609">
        <w:lastRenderedPageBreak/>
        <w:t>Indikativni financijski plan s prikazom financijskih pretpostavki za provedbu posebnih ciljeva i projekata</w:t>
      </w:r>
      <w:bookmarkEnd w:id="103"/>
      <w:bookmarkEnd w:id="104"/>
      <w:r w:rsidRPr="00817609">
        <w:t xml:space="preserve"> </w:t>
      </w:r>
    </w:p>
    <w:p w14:paraId="6DBE4AD4" w14:textId="77777777" w:rsidR="008B0BBD" w:rsidRDefault="008B0BBD" w:rsidP="00001FEA"/>
    <w:p w14:paraId="384989FF" w14:textId="18545030" w:rsidR="00CB2946" w:rsidRDefault="00CB2946" w:rsidP="00CB2946">
      <w:bookmarkStart w:id="105" w:name="_Hlk109629349"/>
      <w:r>
        <w:t xml:space="preserve">Sredstva za provedbu posebnih ciljeva utvrđenih u Nacionalnom planu iznose </w:t>
      </w:r>
      <w:r w:rsidR="007D4828" w:rsidRPr="007D4828">
        <w:t>823.564.706,54</w:t>
      </w:r>
      <w:r>
        <w:t xml:space="preserve"> eura, a od čega se sredstva planiraju kako slijedi:</w:t>
      </w:r>
    </w:p>
    <w:p w14:paraId="783FD386" w14:textId="19C4B742" w:rsidR="00CB2946" w:rsidRDefault="003E26CB" w:rsidP="00CB2946">
      <w:pPr>
        <w:pStyle w:val="Odlomakpopisa"/>
        <w:numPr>
          <w:ilvl w:val="0"/>
          <w:numId w:val="14"/>
        </w:numPr>
      </w:pPr>
      <w:r w:rsidRPr="003E26CB">
        <w:t>Nacionalni dio</w:t>
      </w:r>
      <w:r w:rsidR="00CB2946">
        <w:t xml:space="preserve"> </w:t>
      </w:r>
      <w:r w:rsidR="007D4828" w:rsidRPr="007D4828">
        <w:t>699.167.932,62</w:t>
      </w:r>
      <w:r w:rsidR="00CB2946">
        <w:t xml:space="preserve"> eura</w:t>
      </w:r>
    </w:p>
    <w:p w14:paraId="43A2BE5B" w14:textId="244598C7" w:rsidR="00CB2946" w:rsidRDefault="00CB2946" w:rsidP="00CB2946">
      <w:pPr>
        <w:pStyle w:val="Odlomakpopisa"/>
        <w:numPr>
          <w:ilvl w:val="0"/>
          <w:numId w:val="14"/>
        </w:numPr>
      </w:pPr>
      <w:r>
        <w:t xml:space="preserve">EU fondovi </w:t>
      </w:r>
      <w:r w:rsidR="007D4828" w:rsidRPr="007D4828">
        <w:t>124.396.773,92</w:t>
      </w:r>
      <w:r>
        <w:t xml:space="preserve"> eura</w:t>
      </w:r>
    </w:p>
    <w:p w14:paraId="640191B6" w14:textId="77777777" w:rsidR="00CB2946" w:rsidRDefault="00CB2946" w:rsidP="00CB2946"/>
    <w:p w14:paraId="2B3FCDB5" w14:textId="77777777" w:rsidR="00CB2946" w:rsidRDefault="00CB2946" w:rsidP="00CB2946">
      <w:r>
        <w:t>S</w:t>
      </w:r>
      <w:r w:rsidRPr="006878BB">
        <w:t>redstva za provedbu posebnih ciljeva</w:t>
      </w:r>
      <w:r>
        <w:t xml:space="preserve"> biti će planirana u Financijskom planu Ministarstva mora, prometa i infrastrukture, razdjel 065, u okviru sljedećih proračunskih programa: </w:t>
      </w:r>
    </w:p>
    <w:p w14:paraId="49C36362" w14:textId="77777777" w:rsidR="00CB2946" w:rsidRDefault="00CB2946" w:rsidP="00CB2946">
      <w:pPr>
        <w:pStyle w:val="Odlomakpopisa"/>
        <w:numPr>
          <w:ilvl w:val="0"/>
          <w:numId w:val="14"/>
        </w:numPr>
      </w:pPr>
      <w:r>
        <w:t xml:space="preserve">3111 – </w:t>
      </w:r>
      <w:r w:rsidRPr="00716E08">
        <w:t>Priprema i provedba projekata sufinanciranih sredstvima fondova EU</w:t>
      </w:r>
      <w:r>
        <w:t xml:space="preserve">- 31 promet, prometna infrastruktura i komunikacije </w:t>
      </w:r>
    </w:p>
    <w:p w14:paraId="67C87D24" w14:textId="77777777" w:rsidR="00CB2946" w:rsidRDefault="00CB2946" w:rsidP="00CB2946">
      <w:pPr>
        <w:pStyle w:val="Odlomakpopisa"/>
        <w:numPr>
          <w:ilvl w:val="0"/>
          <w:numId w:val="14"/>
        </w:numPr>
      </w:pPr>
      <w:r>
        <w:t xml:space="preserve">3115 – Razvoj unutarnje plovidbe- 31 promet, prometna infrastruktura i komunikacije </w:t>
      </w:r>
    </w:p>
    <w:p w14:paraId="1175C66B" w14:textId="77777777" w:rsidR="00CB2946" w:rsidRDefault="00CB2946" w:rsidP="00CB2946">
      <w:pPr>
        <w:pStyle w:val="Odlomakpopisa"/>
        <w:numPr>
          <w:ilvl w:val="0"/>
          <w:numId w:val="14"/>
        </w:numPr>
      </w:pPr>
      <w:r>
        <w:t>3118 – Razvoj i sigurnost kopnenog prometa – 31 promet, prometna infrastruktura i komunikacije.</w:t>
      </w:r>
    </w:p>
    <w:p w14:paraId="6E499F68" w14:textId="77777777" w:rsidR="00CB2946" w:rsidRDefault="00CB2946" w:rsidP="00CB2946"/>
    <w:p w14:paraId="19753CE3" w14:textId="77777777" w:rsidR="00CB2946" w:rsidRDefault="00CB2946" w:rsidP="00CB2946">
      <w:r>
        <w:t>Osim gore navedenih, kao izvori financiranja koristit će se kreditna zaduženja u okviru javnog sektora i izvan javnog sektora.</w:t>
      </w:r>
    </w:p>
    <w:p w14:paraId="41AD9DB7" w14:textId="77777777" w:rsidR="00CB2946" w:rsidRDefault="00CB2946" w:rsidP="00CB2946">
      <w:r>
        <w:t xml:space="preserve">Ulaganja HŽI u uslužne objekte u sklopu strateških i drugih projekata sastavni je dio investicija koje su prikazane u </w:t>
      </w:r>
      <w:r w:rsidRPr="00A871A5">
        <w:t>Nacional</w:t>
      </w:r>
      <w:r>
        <w:t>nom</w:t>
      </w:r>
      <w:r w:rsidRPr="00A871A5">
        <w:t xml:space="preserve"> plan</w:t>
      </w:r>
      <w:r>
        <w:t>u</w:t>
      </w:r>
      <w:r w:rsidRPr="00A871A5">
        <w:t xml:space="preserve"> razvoja željezničke infrastrukture za razdoblje do 2030. godine</w:t>
      </w:r>
      <w:r>
        <w:t xml:space="preserve"> i stoga nisu ovdje prikazane. </w:t>
      </w:r>
    </w:p>
    <w:bookmarkEnd w:id="105"/>
    <w:p w14:paraId="3C8859BC" w14:textId="77777777" w:rsidR="00A871A5" w:rsidRDefault="00A871A5" w:rsidP="00001FEA"/>
    <w:p w14:paraId="55E75C7C" w14:textId="77777777" w:rsidR="000F5379" w:rsidRDefault="000F5379" w:rsidP="00001FEA">
      <w:pPr>
        <w:spacing w:line="240" w:lineRule="auto"/>
        <w:sectPr w:rsidR="000F5379" w:rsidSect="00D5657C">
          <w:footerReference w:type="first" r:id="rId12"/>
          <w:pgSz w:w="11906" w:h="16838"/>
          <w:pgMar w:top="1418" w:right="1418" w:bottom="1418" w:left="1418" w:header="709" w:footer="510" w:gutter="0"/>
          <w:pgNumType w:start="1"/>
          <w:cols w:space="708"/>
          <w:titlePg/>
          <w:docGrid w:linePitch="360"/>
        </w:sectPr>
      </w:pPr>
    </w:p>
    <w:p w14:paraId="5670588C" w14:textId="0DD2E64F" w:rsidR="00A871A5" w:rsidRDefault="000F5379" w:rsidP="00001FEA">
      <w:pPr>
        <w:pStyle w:val="Tijeloteksta"/>
      </w:pPr>
      <w:bookmarkStart w:id="106" w:name="_Toc122536070"/>
      <w:r w:rsidRPr="004C70A4">
        <w:lastRenderedPageBreak/>
        <w:t xml:space="preserve">Tablica </w:t>
      </w:r>
      <w:r w:rsidRPr="004C70A4">
        <w:fldChar w:fldCharType="begin"/>
      </w:r>
      <w:r w:rsidRPr="004C70A4">
        <w:instrText xml:space="preserve"> SEQ Tablica \* ARABIC </w:instrText>
      </w:r>
      <w:r w:rsidRPr="004C70A4">
        <w:fldChar w:fldCharType="separate"/>
      </w:r>
      <w:r w:rsidR="003E26CB">
        <w:rPr>
          <w:noProof/>
        </w:rPr>
        <w:t>6</w:t>
      </w:r>
      <w:r w:rsidRPr="004C70A4">
        <w:fldChar w:fldCharType="end"/>
      </w:r>
      <w:r w:rsidR="00B12566">
        <w:t>:</w:t>
      </w:r>
      <w:r>
        <w:t xml:space="preserve"> </w:t>
      </w:r>
      <w:r w:rsidR="008D6F53">
        <w:t>Planirani izvori financiranja</w:t>
      </w:r>
      <w:r w:rsidRPr="008943DB">
        <w:t xml:space="preserve"> (u €</w:t>
      </w:r>
      <w:r w:rsidRPr="008943DB">
        <w:rPr>
          <w:rStyle w:val="Referencafusnote"/>
        </w:rPr>
        <w:footnoteReference w:id="4"/>
      </w:r>
      <w:r w:rsidRPr="008943DB">
        <w:t>)</w:t>
      </w:r>
      <w:bookmarkEnd w:id="106"/>
    </w:p>
    <w:tbl>
      <w:tblPr>
        <w:tblStyle w:val="Svijetlatablicareetke-isticanje1"/>
        <w:tblW w:w="14924" w:type="dxa"/>
        <w:jc w:val="center"/>
        <w:tblLook w:val="04A0" w:firstRow="1" w:lastRow="0" w:firstColumn="1" w:lastColumn="0" w:noHBand="0" w:noVBand="1"/>
      </w:tblPr>
      <w:tblGrid>
        <w:gridCol w:w="1461"/>
        <w:gridCol w:w="1329"/>
        <w:gridCol w:w="1458"/>
        <w:gridCol w:w="1240"/>
        <w:gridCol w:w="1329"/>
        <w:gridCol w:w="1329"/>
        <w:gridCol w:w="1329"/>
        <w:gridCol w:w="1329"/>
        <w:gridCol w:w="1329"/>
        <w:gridCol w:w="1329"/>
        <w:gridCol w:w="1462"/>
      </w:tblGrid>
      <w:tr w:rsidR="009417FF" w:rsidRPr="003C7FB8" w14:paraId="36CD4115" w14:textId="77777777" w:rsidTr="003C7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2F01CEA6" w14:textId="77777777" w:rsidR="009417FF" w:rsidRPr="003C7FB8" w:rsidRDefault="00B12566" w:rsidP="00001FEA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troškovi sveukupno</w:t>
            </w:r>
          </w:p>
        </w:tc>
        <w:tc>
          <w:tcPr>
            <w:tcW w:w="1329" w:type="dxa"/>
            <w:noWrap/>
            <w:vAlign w:val="center"/>
            <w:hideMark/>
          </w:tcPr>
          <w:p w14:paraId="73617D55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2022.</w:t>
            </w:r>
          </w:p>
        </w:tc>
        <w:tc>
          <w:tcPr>
            <w:tcW w:w="1458" w:type="dxa"/>
            <w:noWrap/>
            <w:vAlign w:val="center"/>
            <w:hideMark/>
          </w:tcPr>
          <w:p w14:paraId="7E122D92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240" w:type="dxa"/>
            <w:noWrap/>
            <w:vAlign w:val="center"/>
            <w:hideMark/>
          </w:tcPr>
          <w:p w14:paraId="1A6B3872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329" w:type="dxa"/>
            <w:noWrap/>
            <w:vAlign w:val="center"/>
            <w:hideMark/>
          </w:tcPr>
          <w:p w14:paraId="1E613160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329" w:type="dxa"/>
            <w:noWrap/>
            <w:vAlign w:val="center"/>
            <w:hideMark/>
          </w:tcPr>
          <w:p w14:paraId="11B0000D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329" w:type="dxa"/>
            <w:noWrap/>
            <w:vAlign w:val="center"/>
            <w:hideMark/>
          </w:tcPr>
          <w:p w14:paraId="27FEB3D6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1329" w:type="dxa"/>
            <w:noWrap/>
            <w:vAlign w:val="center"/>
            <w:hideMark/>
          </w:tcPr>
          <w:p w14:paraId="7145ECA9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2028.</w:t>
            </w:r>
          </w:p>
        </w:tc>
        <w:tc>
          <w:tcPr>
            <w:tcW w:w="1329" w:type="dxa"/>
            <w:noWrap/>
            <w:vAlign w:val="center"/>
            <w:hideMark/>
          </w:tcPr>
          <w:p w14:paraId="2294FA05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2029.</w:t>
            </w:r>
          </w:p>
        </w:tc>
        <w:tc>
          <w:tcPr>
            <w:tcW w:w="1329" w:type="dxa"/>
            <w:noWrap/>
            <w:vAlign w:val="center"/>
            <w:hideMark/>
          </w:tcPr>
          <w:p w14:paraId="48485793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2030.</w:t>
            </w:r>
          </w:p>
        </w:tc>
        <w:tc>
          <w:tcPr>
            <w:tcW w:w="1462" w:type="dxa"/>
            <w:noWrap/>
            <w:vAlign w:val="center"/>
            <w:hideMark/>
          </w:tcPr>
          <w:p w14:paraId="1A54805D" w14:textId="77777777" w:rsidR="009417FF" w:rsidRPr="003C7FB8" w:rsidRDefault="009417FF" w:rsidP="00001FEA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2022. </w:t>
            </w:r>
            <w:r w:rsidRPr="003C7FB8"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  <w:t>–</w:t>
            </w: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2030.</w:t>
            </w:r>
          </w:p>
        </w:tc>
      </w:tr>
      <w:tr w:rsidR="007D4828" w:rsidRPr="003C7FB8" w14:paraId="6C0B016E" w14:textId="77777777" w:rsidTr="00F12735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14:paraId="7B469F89" w14:textId="1AC78B78" w:rsidR="007D4828" w:rsidRPr="003C7FB8" w:rsidRDefault="007D4828" w:rsidP="007D482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  <w:tc>
          <w:tcPr>
            <w:tcW w:w="1329" w:type="dxa"/>
            <w:noWrap/>
            <w:vAlign w:val="center"/>
          </w:tcPr>
          <w:p w14:paraId="5F6353F6" w14:textId="67751212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70.382.905,30</w:t>
            </w:r>
          </w:p>
        </w:tc>
        <w:tc>
          <w:tcPr>
            <w:tcW w:w="1458" w:type="dxa"/>
            <w:noWrap/>
            <w:vAlign w:val="center"/>
          </w:tcPr>
          <w:p w14:paraId="0098F4B0" w14:textId="576AA5A4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83.783.131,08</w:t>
            </w:r>
          </w:p>
        </w:tc>
        <w:tc>
          <w:tcPr>
            <w:tcW w:w="1240" w:type="dxa"/>
            <w:noWrap/>
            <w:vAlign w:val="center"/>
          </w:tcPr>
          <w:p w14:paraId="06EFC222" w14:textId="7F5621B4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66.507.399,30</w:t>
            </w:r>
          </w:p>
        </w:tc>
        <w:tc>
          <w:tcPr>
            <w:tcW w:w="1329" w:type="dxa"/>
            <w:noWrap/>
            <w:vAlign w:val="center"/>
          </w:tcPr>
          <w:p w14:paraId="36F73CB0" w14:textId="1759D9DE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80.347.882,43</w:t>
            </w:r>
          </w:p>
        </w:tc>
        <w:tc>
          <w:tcPr>
            <w:tcW w:w="1329" w:type="dxa"/>
            <w:noWrap/>
            <w:vAlign w:val="center"/>
          </w:tcPr>
          <w:p w14:paraId="45E002F7" w14:textId="61F897E7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79.629.322,90</w:t>
            </w:r>
          </w:p>
        </w:tc>
        <w:tc>
          <w:tcPr>
            <w:tcW w:w="1329" w:type="dxa"/>
            <w:noWrap/>
            <w:vAlign w:val="center"/>
          </w:tcPr>
          <w:p w14:paraId="3DDEA9C7" w14:textId="2805BCBF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79.629.322,90</w:t>
            </w:r>
          </w:p>
        </w:tc>
        <w:tc>
          <w:tcPr>
            <w:tcW w:w="1329" w:type="dxa"/>
            <w:noWrap/>
            <w:vAlign w:val="center"/>
          </w:tcPr>
          <w:p w14:paraId="22240E49" w14:textId="0D2416D9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79.629.322,90</w:t>
            </w:r>
          </w:p>
        </w:tc>
        <w:tc>
          <w:tcPr>
            <w:tcW w:w="1329" w:type="dxa"/>
            <w:noWrap/>
            <w:vAlign w:val="center"/>
          </w:tcPr>
          <w:p w14:paraId="5C44DBF0" w14:textId="13B0A09C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79.629.322,90</w:t>
            </w:r>
          </w:p>
        </w:tc>
        <w:tc>
          <w:tcPr>
            <w:tcW w:w="1329" w:type="dxa"/>
            <w:noWrap/>
            <w:vAlign w:val="center"/>
          </w:tcPr>
          <w:p w14:paraId="58B662B9" w14:textId="11857E5B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79.629.322,90</w:t>
            </w:r>
          </w:p>
        </w:tc>
        <w:tc>
          <w:tcPr>
            <w:tcW w:w="1462" w:type="dxa"/>
            <w:noWrap/>
            <w:vAlign w:val="center"/>
          </w:tcPr>
          <w:p w14:paraId="67F6398F" w14:textId="2D4F90D3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699.167.932,62</w:t>
            </w:r>
          </w:p>
        </w:tc>
      </w:tr>
      <w:tr w:rsidR="007D4828" w:rsidRPr="003C7FB8" w14:paraId="5362B1D4" w14:textId="77777777" w:rsidTr="00F1273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14:paraId="7D42DB08" w14:textId="77777777" w:rsidR="007D4828" w:rsidRPr="003C7FB8" w:rsidRDefault="007D4828" w:rsidP="007D482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  <w:tc>
          <w:tcPr>
            <w:tcW w:w="1329" w:type="dxa"/>
            <w:noWrap/>
            <w:vAlign w:val="center"/>
          </w:tcPr>
          <w:p w14:paraId="08D9CEB3" w14:textId="51A9406F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58" w:type="dxa"/>
            <w:noWrap/>
            <w:vAlign w:val="center"/>
          </w:tcPr>
          <w:p w14:paraId="26DB6832" w14:textId="25AAFC12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85.853.739,00</w:t>
            </w:r>
          </w:p>
        </w:tc>
        <w:tc>
          <w:tcPr>
            <w:tcW w:w="1240" w:type="dxa"/>
            <w:noWrap/>
            <w:vAlign w:val="center"/>
          </w:tcPr>
          <w:p w14:paraId="4A38FE5C" w14:textId="112E5A6A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13.837.945,00</w:t>
            </w:r>
          </w:p>
        </w:tc>
        <w:tc>
          <w:tcPr>
            <w:tcW w:w="1329" w:type="dxa"/>
            <w:noWrap/>
            <w:vAlign w:val="center"/>
          </w:tcPr>
          <w:p w14:paraId="0782F21B" w14:textId="0FCB51BD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9" w:type="dxa"/>
            <w:noWrap/>
            <w:vAlign w:val="center"/>
          </w:tcPr>
          <w:p w14:paraId="458EB1C0" w14:textId="000D9A3C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2.654.456,17</w:t>
            </w:r>
          </w:p>
        </w:tc>
        <w:tc>
          <w:tcPr>
            <w:tcW w:w="1329" w:type="dxa"/>
            <w:noWrap/>
            <w:vAlign w:val="center"/>
          </w:tcPr>
          <w:p w14:paraId="0E45F895" w14:textId="27A3EED3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2.654.456,17</w:t>
            </w:r>
          </w:p>
        </w:tc>
        <w:tc>
          <w:tcPr>
            <w:tcW w:w="1329" w:type="dxa"/>
            <w:noWrap/>
            <w:vAlign w:val="center"/>
          </w:tcPr>
          <w:p w14:paraId="2D5E19D6" w14:textId="4C8EA8ED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3.232.696,26</w:t>
            </w:r>
          </w:p>
        </w:tc>
        <w:tc>
          <w:tcPr>
            <w:tcW w:w="1329" w:type="dxa"/>
            <w:noWrap/>
            <w:vAlign w:val="center"/>
          </w:tcPr>
          <w:p w14:paraId="0E11F8F1" w14:textId="72D094DF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6.465.392,53</w:t>
            </w:r>
          </w:p>
        </w:tc>
        <w:tc>
          <w:tcPr>
            <w:tcW w:w="1329" w:type="dxa"/>
            <w:noWrap/>
            <w:vAlign w:val="center"/>
          </w:tcPr>
          <w:p w14:paraId="6287F2FD" w14:textId="69A3535A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9.698.088,79</w:t>
            </w:r>
          </w:p>
        </w:tc>
        <w:tc>
          <w:tcPr>
            <w:tcW w:w="1462" w:type="dxa"/>
            <w:noWrap/>
            <w:vAlign w:val="center"/>
          </w:tcPr>
          <w:p w14:paraId="1481D204" w14:textId="5232BD53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124.396.773,92</w:t>
            </w:r>
          </w:p>
        </w:tc>
      </w:tr>
      <w:tr w:rsidR="007D4828" w:rsidRPr="003C7FB8" w14:paraId="2DAE0C1E" w14:textId="77777777" w:rsidTr="00F1273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noWrap/>
            <w:vAlign w:val="center"/>
            <w:hideMark/>
          </w:tcPr>
          <w:p w14:paraId="7E9275B2" w14:textId="77777777" w:rsidR="007D4828" w:rsidRPr="003C7FB8" w:rsidRDefault="007D4828" w:rsidP="007D4828">
            <w:pPr>
              <w:spacing w:line="240" w:lineRule="auto"/>
              <w:jc w:val="left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SVEUKUPNO IZVORI FINANCIRANJA</w:t>
            </w:r>
            <w:r w:rsidRPr="003C7FB8"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329" w:type="dxa"/>
            <w:noWrap/>
            <w:vAlign w:val="center"/>
          </w:tcPr>
          <w:p w14:paraId="53BA3702" w14:textId="3780A179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70.382.905,30</w:t>
            </w:r>
          </w:p>
        </w:tc>
        <w:tc>
          <w:tcPr>
            <w:tcW w:w="1458" w:type="dxa"/>
            <w:noWrap/>
            <w:vAlign w:val="center"/>
          </w:tcPr>
          <w:p w14:paraId="29DD1F9E" w14:textId="3473AADB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169.636.870,08</w:t>
            </w:r>
          </w:p>
        </w:tc>
        <w:tc>
          <w:tcPr>
            <w:tcW w:w="1240" w:type="dxa"/>
            <w:noWrap/>
            <w:vAlign w:val="center"/>
          </w:tcPr>
          <w:p w14:paraId="2312CCB6" w14:textId="2BEBEDC7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80.345.344,30</w:t>
            </w:r>
          </w:p>
        </w:tc>
        <w:tc>
          <w:tcPr>
            <w:tcW w:w="1329" w:type="dxa"/>
            <w:noWrap/>
            <w:vAlign w:val="center"/>
          </w:tcPr>
          <w:p w14:paraId="23443391" w14:textId="4C9577EB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80.347.882,43</w:t>
            </w:r>
          </w:p>
        </w:tc>
        <w:tc>
          <w:tcPr>
            <w:tcW w:w="1329" w:type="dxa"/>
            <w:noWrap/>
            <w:vAlign w:val="center"/>
          </w:tcPr>
          <w:p w14:paraId="0A7B062A" w14:textId="63A22A21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82.283.779,07</w:t>
            </w:r>
          </w:p>
        </w:tc>
        <w:tc>
          <w:tcPr>
            <w:tcW w:w="1329" w:type="dxa"/>
            <w:noWrap/>
            <w:vAlign w:val="center"/>
          </w:tcPr>
          <w:p w14:paraId="2CA82D7C" w14:textId="6092B33C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82.283.779,07</w:t>
            </w:r>
          </w:p>
        </w:tc>
        <w:tc>
          <w:tcPr>
            <w:tcW w:w="1329" w:type="dxa"/>
            <w:noWrap/>
            <w:vAlign w:val="center"/>
          </w:tcPr>
          <w:p w14:paraId="4AE5B8AD" w14:textId="605F0D59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82.862.019,17</w:t>
            </w:r>
          </w:p>
        </w:tc>
        <w:tc>
          <w:tcPr>
            <w:tcW w:w="1329" w:type="dxa"/>
            <w:noWrap/>
            <w:vAlign w:val="center"/>
          </w:tcPr>
          <w:p w14:paraId="69EA9B63" w14:textId="6374F1AF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86.094.715,43</w:t>
            </w:r>
          </w:p>
        </w:tc>
        <w:tc>
          <w:tcPr>
            <w:tcW w:w="1329" w:type="dxa"/>
            <w:noWrap/>
            <w:vAlign w:val="center"/>
          </w:tcPr>
          <w:p w14:paraId="68581D4C" w14:textId="063156E2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89.327.411,69</w:t>
            </w:r>
          </w:p>
        </w:tc>
        <w:tc>
          <w:tcPr>
            <w:tcW w:w="1462" w:type="dxa"/>
            <w:noWrap/>
            <w:vAlign w:val="center"/>
          </w:tcPr>
          <w:p w14:paraId="1768E1E0" w14:textId="5835ADC8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823.564.706,54</w:t>
            </w:r>
          </w:p>
        </w:tc>
      </w:tr>
    </w:tbl>
    <w:p w14:paraId="0913A827" w14:textId="77777777" w:rsidR="000F5379" w:rsidRDefault="000F5379" w:rsidP="00001FEA">
      <w:pPr>
        <w:spacing w:line="240" w:lineRule="auto"/>
      </w:pPr>
    </w:p>
    <w:p w14:paraId="52269E0F" w14:textId="77777777" w:rsidR="000F5379" w:rsidRDefault="000F5379" w:rsidP="00001FEA">
      <w:pPr>
        <w:spacing w:line="240" w:lineRule="auto"/>
        <w:sectPr w:rsidR="000F5379" w:rsidSect="00001FEA">
          <w:footerReference w:type="default" r:id="rId13"/>
          <w:pgSz w:w="16838" w:h="11906" w:orient="landscape"/>
          <w:pgMar w:top="1440" w:right="1985" w:bottom="1440" w:left="1843" w:header="708" w:footer="1198" w:gutter="0"/>
          <w:cols w:space="708"/>
          <w:docGrid w:linePitch="360"/>
        </w:sectPr>
      </w:pPr>
    </w:p>
    <w:p w14:paraId="2E8A80A3" w14:textId="77777777" w:rsidR="00817609" w:rsidRDefault="00817609" w:rsidP="00134788">
      <w:pPr>
        <w:pStyle w:val="Naslov1"/>
        <w:tabs>
          <w:tab w:val="clear" w:pos="4384"/>
          <w:tab w:val="num" w:pos="0"/>
        </w:tabs>
        <w:ind w:left="0" w:firstLine="0"/>
      </w:pPr>
      <w:bookmarkStart w:id="107" w:name="_Ref115872051"/>
      <w:bookmarkStart w:id="108" w:name="_Toc122335633"/>
      <w:r w:rsidRPr="00817609">
        <w:lastRenderedPageBreak/>
        <w:t>Okvir za praćenje i vrednovanje</w:t>
      </w:r>
      <w:bookmarkEnd w:id="107"/>
      <w:bookmarkEnd w:id="108"/>
    </w:p>
    <w:p w14:paraId="1275C93B" w14:textId="77777777" w:rsidR="00817609" w:rsidRDefault="00817609" w:rsidP="00001FEA"/>
    <w:p w14:paraId="4BB59202" w14:textId="141C5363" w:rsidR="00D144EB" w:rsidRPr="006E30EF" w:rsidRDefault="00D144EB" w:rsidP="00D144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</w:t>
      </w:r>
      <w:r w:rsidRPr="006E30EF">
        <w:rPr>
          <w:rFonts w:eastAsiaTheme="minorHAnsi"/>
          <w:lang w:eastAsia="en-US"/>
        </w:rPr>
        <w:t xml:space="preserve">raćenje i vrednovanje </w:t>
      </w:r>
      <w:r>
        <w:rPr>
          <w:rFonts w:eastAsiaTheme="minorHAnsi"/>
          <w:lang w:eastAsia="en-US"/>
        </w:rPr>
        <w:t>Nacionalnog plana</w:t>
      </w:r>
      <w:r w:rsidRPr="0055475A">
        <w:t xml:space="preserve"> </w:t>
      </w:r>
      <w:r w:rsidRPr="00D144EB">
        <w:t>upravljanja željezničkom infrastrukturom i uslužnim objektima i razvoja usluga željezničkog prijevoza za razdoblje do 2030. godine</w:t>
      </w:r>
      <w:r w:rsidRPr="00D144EB">
        <w:rPr>
          <w:rFonts w:eastAsiaTheme="minorHAnsi"/>
        </w:rPr>
        <w:t xml:space="preserve"> </w:t>
      </w:r>
      <w:r>
        <w:rPr>
          <w:rFonts w:eastAsiaTheme="minorHAnsi"/>
          <w:lang w:eastAsia="en-US"/>
        </w:rPr>
        <w:t xml:space="preserve">provodit će se u skladu sa </w:t>
      </w:r>
      <w:r w:rsidRPr="006E30EF">
        <w:rPr>
          <w:rFonts w:eastAsiaTheme="minorHAnsi"/>
          <w:lang w:eastAsia="en-US"/>
        </w:rPr>
        <w:t>zakonodavnim okvirom sustava strateškog planiranja i upravljanja razvojem Republike Hrvatske</w:t>
      </w:r>
      <w:r>
        <w:rPr>
          <w:rFonts w:eastAsiaTheme="minorHAnsi"/>
          <w:lang w:eastAsia="en-US"/>
        </w:rPr>
        <w:t xml:space="preserve">, odnosno </w:t>
      </w:r>
      <w:r w:rsidRPr="006E30EF">
        <w:rPr>
          <w:rFonts w:eastAsiaTheme="minorHAnsi"/>
          <w:lang w:eastAsia="en-US"/>
        </w:rPr>
        <w:t>Zakon</w:t>
      </w:r>
      <w:r>
        <w:rPr>
          <w:rFonts w:eastAsiaTheme="minorHAnsi"/>
          <w:lang w:eastAsia="en-US"/>
        </w:rPr>
        <w:t>om</w:t>
      </w:r>
      <w:r w:rsidRPr="006E30EF">
        <w:rPr>
          <w:rFonts w:eastAsiaTheme="minorHAnsi"/>
          <w:lang w:eastAsia="en-US"/>
        </w:rPr>
        <w:t xml:space="preserve"> o sustavu strateškog planiranja i upravljanja razvojem Republike Hrvatske (NN 123/17)</w:t>
      </w:r>
      <w:r>
        <w:rPr>
          <w:rFonts w:eastAsiaTheme="minorHAnsi"/>
          <w:lang w:eastAsia="en-US"/>
        </w:rPr>
        <w:t xml:space="preserve"> i</w:t>
      </w:r>
      <w:r w:rsidRPr="006E30EF">
        <w:rPr>
          <w:rFonts w:eastAsiaTheme="minorHAnsi"/>
          <w:lang w:eastAsia="en-US"/>
        </w:rPr>
        <w:t xml:space="preserve"> Uredbom o smjernicama za izradu akata strateškog planiranja od nacionalnog značaja i od značaja za jedinice lokalne i područne (regionalne) samouprave (NN 89/18)</w:t>
      </w:r>
      <w:r>
        <w:rPr>
          <w:rFonts w:eastAsiaTheme="minorHAnsi"/>
          <w:lang w:eastAsia="en-US"/>
        </w:rPr>
        <w:t>.</w:t>
      </w:r>
    </w:p>
    <w:p w14:paraId="0FAF2BB3" w14:textId="77777777" w:rsidR="00D144EB" w:rsidRDefault="00D144EB" w:rsidP="00D144EB">
      <w:pPr>
        <w:rPr>
          <w:rFonts w:eastAsiaTheme="minorHAnsi"/>
          <w:lang w:eastAsia="en-US"/>
        </w:rPr>
      </w:pPr>
      <w:r w:rsidRPr="006E30EF">
        <w:rPr>
          <w:rFonts w:eastAsiaTheme="minorHAnsi"/>
          <w:lang w:eastAsia="en-US"/>
        </w:rPr>
        <w:t xml:space="preserve">Rokovi i postupci praćenja i izvještavanja o provedbi akata strateškog </w:t>
      </w:r>
      <w:r w:rsidR="00B12566">
        <w:rPr>
          <w:rFonts w:eastAsiaTheme="minorHAnsi"/>
          <w:lang w:eastAsia="en-US"/>
        </w:rPr>
        <w:t xml:space="preserve">planiranja </w:t>
      </w:r>
      <w:r w:rsidRPr="006E30EF">
        <w:rPr>
          <w:rFonts w:eastAsiaTheme="minorHAnsi"/>
          <w:lang w:eastAsia="en-US"/>
        </w:rPr>
        <w:t xml:space="preserve">propisani su Pravilnikom o rokovima i postupcima praćenja i izvještavanja o provedbi akata strateškog planiranja od nacionalnog značaja i od značaja za jedinice lokalne i područne (regionalne) samouprave </w:t>
      </w:r>
      <w:r>
        <w:rPr>
          <w:rFonts w:eastAsiaTheme="minorHAnsi"/>
          <w:lang w:eastAsia="en-US"/>
        </w:rPr>
        <w:t xml:space="preserve"> (NN 6/19).</w:t>
      </w:r>
    </w:p>
    <w:p w14:paraId="4E2C24C1" w14:textId="77777777" w:rsidR="00D144EB" w:rsidRPr="006E30EF" w:rsidRDefault="00D144EB" w:rsidP="00D144EB">
      <w:pPr>
        <w:rPr>
          <w:rFonts w:eastAsiaTheme="minorHAnsi"/>
          <w:lang w:eastAsia="en-US"/>
        </w:rPr>
      </w:pPr>
      <w:r w:rsidRPr="006E30EF">
        <w:rPr>
          <w:rFonts w:eastAsiaTheme="minorHAnsi"/>
          <w:lang w:eastAsia="en-US"/>
        </w:rPr>
        <w:t>Kriteriji i standardi provedbe postupka vrednovanja akata strateškog planiranja propisani su</w:t>
      </w:r>
      <w:r>
        <w:rPr>
          <w:rFonts w:eastAsiaTheme="minorHAnsi"/>
          <w:lang w:eastAsia="en-US"/>
        </w:rPr>
        <w:t xml:space="preserve"> </w:t>
      </w:r>
      <w:r w:rsidRPr="006E30EF">
        <w:rPr>
          <w:rFonts w:eastAsiaTheme="minorHAnsi"/>
          <w:lang w:eastAsia="en-US"/>
        </w:rPr>
        <w:t>Pravilnikom o provedbi postupka vrednovanja</w:t>
      </w:r>
      <w:r>
        <w:rPr>
          <w:rFonts w:eastAsiaTheme="minorHAnsi"/>
          <w:lang w:eastAsia="en-US"/>
        </w:rPr>
        <w:t xml:space="preserve"> </w:t>
      </w:r>
      <w:r w:rsidRPr="006E30EF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NN </w:t>
      </w:r>
      <w:r w:rsidRPr="006E30EF">
        <w:rPr>
          <w:rFonts w:eastAsiaTheme="minorHAnsi"/>
          <w:lang w:eastAsia="en-US"/>
        </w:rPr>
        <w:t>66/19).</w:t>
      </w:r>
    </w:p>
    <w:p w14:paraId="0E8AD8D5" w14:textId="77777777" w:rsidR="00F81384" w:rsidRPr="006E30EF" w:rsidRDefault="00F81384" w:rsidP="00001FEA">
      <w:pPr>
        <w:rPr>
          <w:rFonts w:eastAsiaTheme="minorHAnsi"/>
          <w:lang w:eastAsia="en-US"/>
        </w:rPr>
      </w:pPr>
    </w:p>
    <w:p w14:paraId="7FAD1940" w14:textId="77777777" w:rsidR="00CF0EEE" w:rsidRDefault="00F928BC" w:rsidP="00001FEA">
      <w:pPr>
        <w:pStyle w:val="Naslov2"/>
        <w:ind w:left="0" w:firstLine="0"/>
        <w:rPr>
          <w:rFonts w:eastAsiaTheme="minorHAnsi"/>
          <w:lang w:eastAsia="en-US"/>
        </w:rPr>
      </w:pPr>
      <w:bookmarkStart w:id="109" w:name="_Toc107499567"/>
      <w:r>
        <w:rPr>
          <w:rFonts w:eastAsiaTheme="minorHAnsi"/>
          <w:lang w:eastAsia="en-US"/>
        </w:rPr>
        <w:t xml:space="preserve"> </w:t>
      </w:r>
      <w:bookmarkStart w:id="110" w:name="_Toc122335634"/>
      <w:r w:rsidR="00CF0EEE">
        <w:rPr>
          <w:rFonts w:eastAsiaTheme="minorHAnsi"/>
          <w:lang w:eastAsia="en-US"/>
        </w:rPr>
        <w:t>Praćenje i izvje</w:t>
      </w:r>
      <w:bookmarkEnd w:id="109"/>
      <w:r w:rsidR="005B3E94">
        <w:rPr>
          <w:rFonts w:eastAsiaTheme="minorHAnsi"/>
          <w:lang w:eastAsia="en-US"/>
        </w:rPr>
        <w:t>šćivanje</w:t>
      </w:r>
      <w:bookmarkEnd w:id="110"/>
    </w:p>
    <w:p w14:paraId="2EAE9D18" w14:textId="77777777" w:rsidR="00F23E93" w:rsidRDefault="00F23E93" w:rsidP="00D144EB">
      <w:pPr>
        <w:rPr>
          <w:rFonts w:eastAsiaTheme="minorHAnsi"/>
          <w:lang w:eastAsia="en-US"/>
        </w:rPr>
      </w:pPr>
    </w:p>
    <w:p w14:paraId="7BCD6A79" w14:textId="77777777" w:rsidR="00D144EB" w:rsidRDefault="00D144EB" w:rsidP="00D144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</w:t>
      </w:r>
      <w:r w:rsidRPr="000C6845">
        <w:rPr>
          <w:rFonts w:eastAsiaTheme="minorHAnsi"/>
          <w:lang w:eastAsia="en-US"/>
        </w:rPr>
        <w:t>rovedb</w:t>
      </w:r>
      <w:r>
        <w:rPr>
          <w:rFonts w:eastAsiaTheme="minorHAnsi"/>
          <w:lang w:eastAsia="en-US"/>
        </w:rPr>
        <w:t>a</w:t>
      </w:r>
      <w:r w:rsidRPr="000C68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Nacionalnog plana </w:t>
      </w:r>
      <w:r w:rsidRPr="000C6845">
        <w:rPr>
          <w:rFonts w:eastAsiaTheme="minorHAnsi"/>
          <w:lang w:eastAsia="en-US"/>
        </w:rPr>
        <w:t xml:space="preserve">prati se </w:t>
      </w:r>
      <w:r w:rsidRPr="00AD7B39">
        <w:rPr>
          <w:rFonts w:eastAsiaTheme="minorHAnsi"/>
          <w:lang w:eastAsia="en-US"/>
        </w:rPr>
        <w:t>prikupljanje</w:t>
      </w:r>
      <w:r>
        <w:rPr>
          <w:rFonts w:eastAsiaTheme="minorHAnsi"/>
          <w:lang w:eastAsia="en-US"/>
        </w:rPr>
        <w:t>m</w:t>
      </w:r>
      <w:r w:rsidRPr="00AD7B39">
        <w:rPr>
          <w:rFonts w:eastAsiaTheme="minorHAnsi"/>
          <w:lang w:eastAsia="en-US"/>
        </w:rPr>
        <w:t xml:space="preserve"> podataka </w:t>
      </w:r>
      <w:r>
        <w:rPr>
          <w:rFonts w:eastAsiaTheme="minorHAnsi"/>
          <w:lang w:eastAsia="en-US"/>
        </w:rPr>
        <w:t xml:space="preserve">o ostvarenju pokazatelja uspješnosti </w:t>
      </w:r>
      <w:r w:rsidRPr="00AD7B39">
        <w:rPr>
          <w:rFonts w:eastAsiaTheme="minorHAnsi"/>
          <w:lang w:eastAsia="en-US"/>
        </w:rPr>
        <w:t>i praćenje</w:t>
      </w:r>
      <w:r>
        <w:rPr>
          <w:rFonts w:eastAsiaTheme="minorHAnsi"/>
          <w:lang w:eastAsia="en-US"/>
        </w:rPr>
        <w:t>m</w:t>
      </w:r>
      <w:r w:rsidRPr="00AD7B39">
        <w:rPr>
          <w:rFonts w:eastAsiaTheme="minorHAnsi"/>
          <w:lang w:eastAsia="en-US"/>
        </w:rPr>
        <w:t xml:space="preserve"> uspješnosti provedbe </w:t>
      </w:r>
      <w:r>
        <w:rPr>
          <w:rFonts w:eastAsiaTheme="minorHAnsi"/>
          <w:lang w:eastAsia="en-US"/>
        </w:rPr>
        <w:t xml:space="preserve">strateških </w:t>
      </w:r>
      <w:r w:rsidRPr="00AD7B39">
        <w:rPr>
          <w:rFonts w:eastAsiaTheme="minorHAnsi"/>
          <w:lang w:eastAsia="en-US"/>
        </w:rPr>
        <w:t>ciljeva</w:t>
      </w:r>
      <w:r>
        <w:rPr>
          <w:rFonts w:eastAsiaTheme="minorHAnsi"/>
          <w:lang w:eastAsia="en-US"/>
        </w:rPr>
        <w:t>.</w:t>
      </w:r>
      <w:r w:rsidRPr="00AD7B39">
        <w:rPr>
          <w:rFonts w:eastAsiaTheme="minorHAnsi"/>
          <w:lang w:eastAsia="en-US"/>
        </w:rPr>
        <w:t xml:space="preserve"> </w:t>
      </w:r>
    </w:p>
    <w:p w14:paraId="127A8C1C" w14:textId="77777777" w:rsidR="00D144EB" w:rsidRDefault="00D144EB" w:rsidP="00D144E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Ostvarenja pokazatelja uspješnosti (Poglavlje </w:t>
      </w:r>
      <w:r w:rsidR="00F23E93">
        <w:rPr>
          <w:rFonts w:eastAsiaTheme="minorHAnsi"/>
          <w:lang w:eastAsia="en-US"/>
        </w:rPr>
        <w:fldChar w:fldCharType="begin"/>
      </w:r>
      <w:r w:rsidR="00F23E93">
        <w:rPr>
          <w:rFonts w:eastAsiaTheme="minorHAnsi"/>
          <w:lang w:eastAsia="en-US"/>
        </w:rPr>
        <w:instrText xml:space="preserve"> REF _Ref116559369 \r \h </w:instrText>
      </w:r>
      <w:r w:rsidR="00F23E93">
        <w:rPr>
          <w:rFonts w:eastAsiaTheme="minorHAnsi"/>
          <w:lang w:eastAsia="en-US"/>
        </w:rPr>
      </w:r>
      <w:r w:rsidR="00F23E93">
        <w:rPr>
          <w:rFonts w:eastAsiaTheme="minorHAnsi"/>
          <w:lang w:eastAsia="en-US"/>
        </w:rPr>
        <w:fldChar w:fldCharType="separate"/>
      </w:r>
      <w:r w:rsidR="00F23E93">
        <w:rPr>
          <w:rFonts w:eastAsiaTheme="minorHAnsi"/>
          <w:lang w:eastAsia="en-US"/>
        </w:rPr>
        <w:t>6.2</w:t>
      </w:r>
      <w:r w:rsidR="00F23E93"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fldChar w:fldCharType="begin"/>
      </w:r>
      <w:r>
        <w:rPr>
          <w:rFonts w:eastAsiaTheme="minorHAnsi"/>
          <w:lang w:eastAsia="en-US"/>
        </w:rPr>
        <w:instrText xml:space="preserve"> REF _Ref116068352 \r \h </w:instrTex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) prate se sustavnim prikupljanjem </w:t>
      </w:r>
      <w:r w:rsidRPr="000C6845">
        <w:rPr>
          <w:rFonts w:eastAsiaTheme="minorHAnsi"/>
          <w:lang w:eastAsia="en-US"/>
        </w:rPr>
        <w:t>podataka iz navedenih izvora</w:t>
      </w:r>
      <w:r>
        <w:rPr>
          <w:rFonts w:eastAsiaTheme="minorHAnsi"/>
          <w:lang w:eastAsia="en-US"/>
        </w:rPr>
        <w:t xml:space="preserve"> te analizom i usporedbom odabranih pokazatelja učinka. </w:t>
      </w:r>
    </w:p>
    <w:p w14:paraId="025DD43C" w14:textId="77777777" w:rsidR="00D144EB" w:rsidRDefault="00D144EB" w:rsidP="00D144EB">
      <w:pPr>
        <w:rPr>
          <w:rFonts w:eastAsiaTheme="minorHAnsi"/>
          <w:lang w:eastAsia="en-US"/>
        </w:rPr>
      </w:pPr>
      <w:r w:rsidRPr="00F71B1D">
        <w:rPr>
          <w:rFonts w:eastAsiaTheme="minorHAnsi"/>
          <w:lang w:eastAsia="en-US"/>
        </w:rPr>
        <w:t xml:space="preserve">Za potrebe praćenja provedbe </w:t>
      </w:r>
      <w:r>
        <w:rPr>
          <w:rFonts w:eastAsiaTheme="minorHAnsi"/>
          <w:lang w:eastAsia="en-US"/>
        </w:rPr>
        <w:t>Nacionalnog plana</w:t>
      </w:r>
      <w:r w:rsidRPr="00F71B1D">
        <w:rPr>
          <w:rFonts w:eastAsiaTheme="minorHAnsi"/>
          <w:lang w:eastAsia="en-US"/>
        </w:rPr>
        <w:t xml:space="preserve"> zaduženo je Ministarstvo mora, prometa i infrastrukture – Uprava za željezničku infrastrukturu i promet. </w:t>
      </w:r>
      <w:r w:rsidRPr="005E2CE4">
        <w:rPr>
          <w:rFonts w:eastAsiaTheme="minorHAnsi"/>
          <w:lang w:eastAsia="en-US"/>
        </w:rPr>
        <w:t xml:space="preserve">Službenici imenovani za potrebe praćenja provedbe strateških ciljeva utvrđenih u </w:t>
      </w:r>
      <w:r>
        <w:rPr>
          <w:rFonts w:eastAsiaTheme="minorHAnsi"/>
          <w:lang w:eastAsia="en-US"/>
        </w:rPr>
        <w:t>Nacionalnom planu</w:t>
      </w:r>
      <w:r w:rsidRPr="005E2CE4">
        <w:rPr>
          <w:rFonts w:eastAsiaTheme="minorHAnsi"/>
          <w:lang w:eastAsia="en-US"/>
        </w:rPr>
        <w:t xml:space="preserve"> organizirat</w:t>
      </w:r>
      <w:r>
        <w:rPr>
          <w:rFonts w:eastAsiaTheme="minorHAnsi"/>
          <w:lang w:eastAsia="en-US"/>
        </w:rPr>
        <w:t xml:space="preserve"> će</w:t>
      </w:r>
      <w:r w:rsidRPr="005E2CE4">
        <w:rPr>
          <w:rFonts w:eastAsiaTheme="minorHAnsi"/>
          <w:lang w:eastAsia="en-US"/>
        </w:rPr>
        <w:t xml:space="preserve"> sastanke s predstavnicima nositelja provedbe kako bi se identificirali uzroci odstupanja od planiranih postignuća i dogovorili koraci i rokovi za rješavanje identificiranih poteškoća.</w:t>
      </w:r>
    </w:p>
    <w:p w14:paraId="64A3AEE7" w14:textId="77777777" w:rsidR="00D144EB" w:rsidRPr="000C6845" w:rsidRDefault="00D144EB" w:rsidP="00D144EB">
      <w:pPr>
        <w:rPr>
          <w:rFonts w:eastAsiaTheme="minorHAnsi"/>
          <w:lang w:eastAsia="en-US"/>
        </w:rPr>
      </w:pPr>
      <w:r w:rsidRPr="00F71B1D">
        <w:rPr>
          <w:rFonts w:eastAsiaTheme="minorHAnsi"/>
          <w:lang w:eastAsia="en-US"/>
        </w:rPr>
        <w:t>Uprava za željezničku infrastrukturu i promet</w:t>
      </w:r>
      <w:r>
        <w:t xml:space="preserve"> </w:t>
      </w:r>
      <w:r w:rsidR="00B12566">
        <w:t xml:space="preserve">izvješćivat </w:t>
      </w:r>
      <w:r>
        <w:t>će koordinatora za strateško planiranje, odnosno Koordinacijsko tijelo za sustav strateškog planiranja i upravljanja razvojem Republike Hrvatske,  o provedbi Nacionalnog plana u skladu s propisima koji uređuju sustav strateškog planiranja i upravljanja razvojem Republike Hrvatske.</w:t>
      </w:r>
    </w:p>
    <w:p w14:paraId="7679BB18" w14:textId="77777777" w:rsidR="00D144EB" w:rsidRPr="00F71B1D" w:rsidRDefault="00D144EB" w:rsidP="00D144EB">
      <w:pPr>
        <w:rPr>
          <w:rFonts w:eastAsiaTheme="minorHAnsi"/>
          <w:lang w:eastAsia="en-US"/>
        </w:rPr>
      </w:pPr>
      <w:r w:rsidRPr="005E2CE4">
        <w:rPr>
          <w:rFonts w:eastAsiaTheme="minorHAnsi"/>
          <w:lang w:eastAsia="en-US"/>
        </w:rPr>
        <w:t>Godišnj</w:t>
      </w:r>
      <w:r>
        <w:rPr>
          <w:rFonts w:eastAsiaTheme="minorHAnsi"/>
          <w:lang w:eastAsia="en-US"/>
        </w:rPr>
        <w:t>a</w:t>
      </w:r>
      <w:r w:rsidRPr="005E2CE4">
        <w:rPr>
          <w:rFonts w:eastAsiaTheme="minorHAnsi"/>
          <w:lang w:eastAsia="en-US"/>
        </w:rPr>
        <w:t xml:space="preserve"> izvješć</w:t>
      </w:r>
      <w:r>
        <w:rPr>
          <w:rFonts w:eastAsiaTheme="minorHAnsi"/>
          <w:lang w:eastAsia="en-US"/>
        </w:rPr>
        <w:t>a</w:t>
      </w:r>
      <w:r w:rsidRPr="005E2CE4">
        <w:rPr>
          <w:rFonts w:eastAsiaTheme="minorHAnsi"/>
          <w:lang w:eastAsia="en-US"/>
        </w:rPr>
        <w:t xml:space="preserve"> o provedbi </w:t>
      </w:r>
      <w:r>
        <w:rPr>
          <w:rFonts w:eastAsiaTheme="minorHAnsi"/>
          <w:lang w:eastAsia="en-US"/>
        </w:rPr>
        <w:t>Nacionalnog plana</w:t>
      </w:r>
      <w:r w:rsidRPr="005E2CE4">
        <w:rPr>
          <w:rFonts w:eastAsiaTheme="minorHAnsi"/>
          <w:lang w:eastAsia="en-US"/>
        </w:rPr>
        <w:t xml:space="preserve"> objavlj</w:t>
      </w:r>
      <w:r>
        <w:rPr>
          <w:rFonts w:eastAsiaTheme="minorHAnsi"/>
          <w:lang w:eastAsia="en-US"/>
        </w:rPr>
        <w:t xml:space="preserve">ivat će </w:t>
      </w:r>
      <w:r w:rsidRPr="005E2CE4">
        <w:rPr>
          <w:rFonts w:eastAsiaTheme="minorHAnsi"/>
          <w:lang w:eastAsia="en-US"/>
        </w:rPr>
        <w:t xml:space="preserve">se i na mrežnim stranicama </w:t>
      </w:r>
      <w:r>
        <w:rPr>
          <w:rFonts w:eastAsiaTheme="minorHAnsi"/>
          <w:lang w:eastAsia="en-US"/>
        </w:rPr>
        <w:t>Ministarstva mora, prometa i infrastrukture.</w:t>
      </w:r>
    </w:p>
    <w:p w14:paraId="370B7D22" w14:textId="77777777" w:rsidR="00F928BC" w:rsidRDefault="00F928BC" w:rsidP="00001FEA">
      <w:pPr>
        <w:rPr>
          <w:rFonts w:eastAsiaTheme="minorHAnsi"/>
          <w:lang w:eastAsia="en-US"/>
        </w:rPr>
      </w:pPr>
    </w:p>
    <w:p w14:paraId="4ECC4D1A" w14:textId="77777777" w:rsidR="00CF0EEE" w:rsidRDefault="00F928BC" w:rsidP="00001FEA">
      <w:pPr>
        <w:pStyle w:val="Naslov2"/>
        <w:ind w:left="0" w:firstLine="0"/>
      </w:pPr>
      <w:bookmarkStart w:id="111" w:name="_Toc107499568"/>
      <w:r>
        <w:t xml:space="preserve"> </w:t>
      </w:r>
      <w:bookmarkStart w:id="112" w:name="_Toc122335635"/>
      <w:r w:rsidR="00CF0EEE">
        <w:t>Vrednovanje</w:t>
      </w:r>
      <w:bookmarkEnd w:id="111"/>
      <w:bookmarkEnd w:id="112"/>
      <w:r w:rsidR="00CF0EEE">
        <w:t xml:space="preserve"> </w:t>
      </w:r>
    </w:p>
    <w:p w14:paraId="0EB6D0CA" w14:textId="77777777" w:rsidR="00D144EB" w:rsidRPr="009A25F0" w:rsidRDefault="00D144EB" w:rsidP="00D144EB">
      <w:r w:rsidRPr="00E17556">
        <w:t>Vrednovanje je sastavni dio</w:t>
      </w:r>
      <w:r>
        <w:t xml:space="preserve"> procesa strateškog planiranja koji izravno </w:t>
      </w:r>
      <w:r w:rsidRPr="00E17556">
        <w:t>utječe na unapr</w:t>
      </w:r>
      <w:r w:rsidR="00B12566">
        <w:t>j</w:t>
      </w:r>
      <w:r w:rsidRPr="00E17556">
        <w:t xml:space="preserve">eđenje učinkovitosti i djelotvornosti </w:t>
      </w:r>
      <w:r>
        <w:t>provedbe akata strateškog planiranja</w:t>
      </w:r>
      <w:r w:rsidRPr="00E17556">
        <w:t>, odnosno</w:t>
      </w:r>
      <w:r>
        <w:t xml:space="preserve"> </w:t>
      </w:r>
      <w:r>
        <w:lastRenderedPageBreak/>
        <w:t>procjenu učinaka provedbe</w:t>
      </w:r>
      <w:r w:rsidRPr="00E17556">
        <w:t xml:space="preserve"> javne politike</w:t>
      </w:r>
      <w:r>
        <w:t>.</w:t>
      </w:r>
      <w:r w:rsidRPr="009A25F0">
        <w:t xml:space="preserve"> Postupak vrednovanja Nacionalnog plana temeljit će se na načelima strateškog planiranja i upravljanja razvojem</w:t>
      </w:r>
      <w:r>
        <w:t>,</w:t>
      </w:r>
      <w:r w:rsidRPr="009A25F0">
        <w:t xml:space="preserve"> a provest</w:t>
      </w:r>
      <w:r w:rsidR="00437695">
        <w:t xml:space="preserve"> </w:t>
      </w:r>
      <w:r w:rsidRPr="009A25F0">
        <w:t>će se u skladu s odredbama Pravilnika o provedbi postupka vrednovanja.</w:t>
      </w:r>
    </w:p>
    <w:p w14:paraId="16748FE8" w14:textId="77777777" w:rsidR="00D144EB" w:rsidRDefault="00D144EB" w:rsidP="00D144EB">
      <w:r>
        <w:t>Za potrebe učinkovite provedbe Nacionalnog plana, planirana je provedba postupaka srednjoročnog i naknadnog vrednovanja.</w:t>
      </w:r>
    </w:p>
    <w:p w14:paraId="10C16571" w14:textId="77777777" w:rsidR="00F12735" w:rsidRPr="008943DB" w:rsidRDefault="00F12735" w:rsidP="00F12735">
      <w:bookmarkStart w:id="113" w:name="_Ref115872166"/>
      <w:bookmarkStart w:id="114" w:name="_Hlk115871750"/>
      <w:r w:rsidRPr="008943DB">
        <w:t xml:space="preserve">Postupak </w:t>
      </w:r>
      <w:r>
        <w:t xml:space="preserve">srednjoročnog vrednovanja </w:t>
      </w:r>
      <w:r w:rsidRPr="008943DB">
        <w:t xml:space="preserve">provest će se </w:t>
      </w:r>
      <w:r w:rsidRPr="00D67A28">
        <w:rPr>
          <w:b/>
          <w:bCs/>
        </w:rPr>
        <w:t>po završetku provedbe prvog Akcijskog plana za provedbu Nacionalnog plana</w:t>
      </w:r>
      <w:r>
        <w:rPr>
          <w:b/>
          <w:bCs/>
        </w:rPr>
        <w:t>,</w:t>
      </w:r>
      <w:r>
        <w:t xml:space="preserve"> </w:t>
      </w:r>
      <w:r w:rsidRPr="008943DB">
        <w:t xml:space="preserve">u </w:t>
      </w:r>
      <w:r w:rsidRPr="00F12735">
        <w:rPr>
          <w:b/>
          <w:bCs/>
        </w:rPr>
        <w:t>četvrtom kvartalu (4.Q) 2024. godine</w:t>
      </w:r>
      <w:r w:rsidRPr="008943DB">
        <w:t>.</w:t>
      </w:r>
      <w:r>
        <w:t xml:space="preserve"> Nalazi provedenog postupka srednjoročnog vrednovanja bit će iskorišteni prilikom izrade drugog Akcijskog plana za provedbu Nacionalnog plana. </w:t>
      </w:r>
    </w:p>
    <w:p w14:paraId="665D4F54" w14:textId="77777777" w:rsidR="00F23E93" w:rsidRPr="004342F4" w:rsidRDefault="00F12735" w:rsidP="00F23E93">
      <w:r w:rsidRPr="008943DB">
        <w:t xml:space="preserve">Postupak </w:t>
      </w:r>
      <w:r>
        <w:t xml:space="preserve">naknadnog </w:t>
      </w:r>
      <w:r w:rsidRPr="008943DB">
        <w:t>vrednovanja provest će se tijekom 2031. godine</w:t>
      </w:r>
      <w:r>
        <w:t>, u kojemu</w:t>
      </w:r>
      <w:r w:rsidRPr="008943DB">
        <w:t xml:space="preserve"> će se </w:t>
      </w:r>
      <w:r w:rsidR="00F23E93">
        <w:t xml:space="preserve">utvrditi </w:t>
      </w:r>
      <w:r w:rsidRPr="008943DB">
        <w:t xml:space="preserve">ostvarenje </w:t>
      </w:r>
      <w:r w:rsidR="00F23E93">
        <w:t xml:space="preserve">ciljeva </w:t>
      </w:r>
      <w:r w:rsidRPr="008943DB">
        <w:t xml:space="preserve">i ocijeniti </w:t>
      </w:r>
      <w:r w:rsidR="00F23E93">
        <w:t xml:space="preserve">razvojni učinak </w:t>
      </w:r>
      <w:r w:rsidR="00F23E93" w:rsidRPr="004342F4">
        <w:t>provedbe Nacionalnog plana te osigurati preporuke za daljnje procese strateškog planiranja. Postupak naknadnog vrednovanja provest će se tijekom 2031. godine, a rezultati provedenih vrednovanja bit</w:t>
      </w:r>
      <w:r w:rsidR="00437695">
        <w:t xml:space="preserve"> </w:t>
      </w:r>
      <w:r w:rsidR="00F23E93" w:rsidRPr="004342F4">
        <w:t>će temelj za reviziju javnih politika u području razvoja željezničkog sustava te daljnje procese strateškog planiranja u razdoblju nakon 2030. godine.</w:t>
      </w:r>
    </w:p>
    <w:p w14:paraId="24B93AF6" w14:textId="77777777" w:rsidR="00F12735" w:rsidRPr="008943DB" w:rsidRDefault="00F12735" w:rsidP="00F12735"/>
    <w:p w14:paraId="7117A2FD" w14:textId="77777777" w:rsidR="00D46846" w:rsidRPr="008943DB" w:rsidRDefault="00D46846" w:rsidP="00D46846">
      <w:pPr>
        <w:pStyle w:val="Naslov1"/>
        <w:tabs>
          <w:tab w:val="clear" w:pos="4384"/>
          <w:tab w:val="num" w:pos="0"/>
        </w:tabs>
        <w:ind w:left="0" w:firstLine="0"/>
      </w:pPr>
      <w:bookmarkStart w:id="115" w:name="_Toc122335636"/>
      <w:r w:rsidRPr="00123356">
        <w:lastRenderedPageBreak/>
        <w:t xml:space="preserve">Osvrt na utjecaj </w:t>
      </w:r>
      <w:r>
        <w:t>Nacionalnog plana</w:t>
      </w:r>
      <w:r w:rsidRPr="00123356">
        <w:t xml:space="preserve"> na okoliš</w:t>
      </w:r>
      <w:bookmarkEnd w:id="113"/>
      <w:bookmarkEnd w:id="115"/>
      <w:r w:rsidRPr="008943DB">
        <w:t xml:space="preserve"> </w:t>
      </w:r>
    </w:p>
    <w:p w14:paraId="32D4C9E2" w14:textId="77777777" w:rsidR="00D46846" w:rsidRPr="0086339C" w:rsidRDefault="00D46846" w:rsidP="00D46846">
      <w:r>
        <w:t>Strategijom prometnog razvoja Republike Hrvatske za razdoblje od 2017.</w:t>
      </w:r>
      <w:r w:rsidR="00B12566">
        <w:t xml:space="preserve"> </w:t>
      </w:r>
      <w:r>
        <w:t>g. do 2030.</w:t>
      </w:r>
      <w:r w:rsidR="00B12566">
        <w:t xml:space="preserve"> </w:t>
      </w:r>
      <w:r>
        <w:t xml:space="preserve">g. za </w:t>
      </w:r>
      <w:r w:rsidRPr="0086339C">
        <w:t>koju je provedena strateška procjena utjecaja u sklopu koje je bila i glavna ocjena prihvatljivosti za ekološku mrežu, definira specifične ciljeve za željeznički sektor:</w:t>
      </w:r>
    </w:p>
    <w:p w14:paraId="2851B440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SC1 – Unaprijediti koridore željezničkog teretnog prometa iz </w:t>
      </w:r>
      <w:r w:rsidR="00B12566">
        <w:t>L</w:t>
      </w:r>
      <w:r w:rsidRPr="0086339C">
        <w:t xml:space="preserve">uke Rijeka prema tržištima s najvećim potencijalom za luku (Mađarskoj, BiH, Slovačkoj, Italiji, južnoj Poljskoj i Srbiji) </w:t>
      </w:r>
    </w:p>
    <w:p w14:paraId="617CCA39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SC2 – Kvalitetnije koristiti hrvatski željeznički sustav u većim hrvatskim aglomeracijama (Zagreb, Rijeka, Split, Varaždin, Osijek) te unutar i između funkcionalnih regija (podregija) </w:t>
      </w:r>
    </w:p>
    <w:p w14:paraId="0B66D7C8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>SC3 – Poboljšati razinu usluge željezničkog voznog parka i njegov</w:t>
      </w:r>
      <w:r w:rsidR="00B12566">
        <w:t>a</w:t>
      </w:r>
      <w:r w:rsidRPr="0086339C">
        <w:t xml:space="preserve"> utjecaja na okoliš</w:t>
      </w:r>
    </w:p>
    <w:p w14:paraId="0370DCCA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SC4 – Bolje integrirati željeznički sustav u sustave lokalnog prometa (sigurnost i zaštita na stanicama, veze s drugim oblicima prijevoza itd.) </w:t>
      </w:r>
    </w:p>
    <w:p w14:paraId="1BD2EFA7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SC5 – Povećati sigurnost na željezničko-cestovnim prijelazima </w:t>
      </w:r>
    </w:p>
    <w:p w14:paraId="06408AFA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SC6 – Povećati efikasnost hrvatskog željezničkog sustava (upravljanje prometom, poslovanje itd.) </w:t>
      </w:r>
    </w:p>
    <w:p w14:paraId="752039DC" w14:textId="77777777" w:rsidR="00D46846" w:rsidRPr="0086339C" w:rsidRDefault="00D46846" w:rsidP="00CB2946">
      <w:pPr>
        <w:pStyle w:val="Odlomakpopisa"/>
        <w:numPr>
          <w:ilvl w:val="0"/>
          <w:numId w:val="11"/>
        </w:numPr>
      </w:pPr>
      <w:r w:rsidRPr="0086339C">
        <w:t xml:space="preserve">SC7 </w:t>
      </w:r>
      <w:r w:rsidR="00B12566">
        <w:t>–</w:t>
      </w:r>
      <w:r w:rsidR="00B12566" w:rsidRPr="0086339C">
        <w:t xml:space="preserve"> </w:t>
      </w:r>
      <w:r w:rsidRPr="0086339C">
        <w:t>Zajamčiti održavanje infrastrukture uvažavajući aspekte ekonomičnosti</w:t>
      </w:r>
      <w:r w:rsidR="00B12566">
        <w:t>.</w:t>
      </w:r>
    </w:p>
    <w:p w14:paraId="7058B118" w14:textId="77777777" w:rsidR="00D46846" w:rsidRPr="0086339C" w:rsidRDefault="00D46846" w:rsidP="00D46846"/>
    <w:p w14:paraId="158ECF72" w14:textId="6BBA4203" w:rsidR="00D46846" w:rsidRPr="0086339C" w:rsidRDefault="00D46846" w:rsidP="00D46846">
      <w:r w:rsidRPr="0086339C">
        <w:t xml:space="preserve">Strategijom prometnog razvoja </w:t>
      </w:r>
      <w:r w:rsidR="00AF7C7C" w:rsidRPr="00AF7C7C">
        <w:t>Republike Hrvatske za razdoblje od 2017. do 2030. godine</w:t>
      </w:r>
      <w:r w:rsidR="00AF7C7C">
        <w:t xml:space="preserve"> </w:t>
      </w:r>
      <w:r w:rsidRPr="0086339C">
        <w:t xml:space="preserve">predviđene su mjere razvoja željezničkog sektora koje predlažu intervencije povezane s poboljšanjem infrastrukture željezničkog sustava, ali i s operativnim i organizacijskim aspektima jer izolirane intervencije u infrastrukturi neće imati velik učinak na učinkovitost i održivost sustava ako nisu praćene odgovarajućim promjenama u sustavu i ako djelatnosti nisu prilagođene stvarnim potrebama potražnje. </w:t>
      </w:r>
    </w:p>
    <w:p w14:paraId="22B90748" w14:textId="37E844B2" w:rsidR="00D46846" w:rsidRPr="003F68C5" w:rsidRDefault="00D46846" w:rsidP="00D46846">
      <w:pPr>
        <w:spacing w:line="240" w:lineRule="auto"/>
      </w:pPr>
      <w:r w:rsidRPr="003F68C5">
        <w:t xml:space="preserve">S tim u vezi, mjere i projekti koji su proizašli u sklopu ovog Nacionalnog plana nisu izvan okvira onih koji su prepoznati u Strategiji prometnog razvoja </w:t>
      </w:r>
      <w:r w:rsidR="00AF7C7C" w:rsidRPr="00AF7C7C">
        <w:t>Republike Hrvatske za razdoblje od 2017. do 2030. godine</w:t>
      </w:r>
      <w:r w:rsidRPr="003F68C5">
        <w:t xml:space="preserve">. </w:t>
      </w:r>
    </w:p>
    <w:p w14:paraId="2F5917D8" w14:textId="77777777" w:rsidR="00D46846" w:rsidRDefault="00D46846" w:rsidP="00D46846">
      <w:r w:rsidRPr="003F68C5">
        <w:t xml:space="preserve">Odredbama posebnog propisa za stratešku procjenu utjecaja na okoliš, prema izdanom </w:t>
      </w:r>
      <w:r>
        <w:t>mišljenju nadležne ustrojstvene jedinice Ministarstva zaštite okoliša i energetike (KLASA: 351-03/19-01/408, URB</w:t>
      </w:r>
      <w:r w:rsidR="00FA3CB1">
        <w:t>R</w:t>
      </w:r>
      <w:r>
        <w:t>OJ: 517-03-1-1-19-4 od 3. travnja 2019.</w:t>
      </w:r>
      <w:r w:rsidR="00FA3CB1">
        <w:t xml:space="preserve"> </w:t>
      </w:r>
      <w:r>
        <w:t xml:space="preserve">g.) za Strateške planske dokumente razvoja željezničkog sustava u Republici Hrvatskoj (Strategija razvoja željezničkog sustava, Nacionalni plan razvoja željezničke infrastrukture, Nacionalni plan upravljanja željezničkom infrastrukturom i uslužnim objektima i razvoja usluga željezničkog prijevoza) nije potrebno provesti postupak strateške procjene utjecaja na okoliš. Člankom 26. stavak 1. Zakona o zaštiti prirode (Narodne novine, br. 80/13, 15/18, 14/19) </w:t>
      </w:r>
      <w:r w:rsidR="00FA3CB1">
        <w:t xml:space="preserve">navodi se </w:t>
      </w:r>
      <w:r>
        <w:t xml:space="preserve">ako je za strategiju, plan ili program obvezna provedba ocjene o potrebi strateške procjene, Prethodna ocjena prihvatljivosti za ekološku mrežu provodi se u sklopu navedenog postupka, a </w:t>
      </w:r>
      <w:r w:rsidR="00FA3CB1">
        <w:t xml:space="preserve">ako </w:t>
      </w:r>
      <w:r>
        <w:t>je mišljenjem određena obveza strateške procjene utjecaja na okoliš</w:t>
      </w:r>
      <w:r w:rsidR="00FA3CB1">
        <w:t>,</w:t>
      </w:r>
      <w:r>
        <w:t xml:space="preserve"> postupak Prethodne ocjene provodi se kao samostalan postupak prije započinjanja postupka strateške procjene utjecaja na okoliš (članak 26. stavak 2. Zakona o zaštiti prirode).</w:t>
      </w:r>
    </w:p>
    <w:p w14:paraId="07F48646" w14:textId="77777777" w:rsidR="00D46846" w:rsidRDefault="00FA3CB1" w:rsidP="00D46846">
      <w:r>
        <w:t>S o</w:t>
      </w:r>
      <w:r w:rsidR="00D46846">
        <w:t xml:space="preserve">bzirom na ciljeve Strateških planskih dokumenata, mjere i projekte koji će proizaći iz dokumenta, a koji nisu izvan okvira onih koji su prepoznati u Strategiji prometnog razvoja </w:t>
      </w:r>
      <w:r w:rsidR="00D46846">
        <w:lastRenderedPageBreak/>
        <w:t>Republike Hrvatske za razdoblje od 2017.</w:t>
      </w:r>
      <w:r>
        <w:t xml:space="preserve"> </w:t>
      </w:r>
      <w:r w:rsidR="00D46846">
        <w:t>g. do 2030.</w:t>
      </w:r>
      <w:r>
        <w:t xml:space="preserve"> </w:t>
      </w:r>
      <w:r w:rsidR="00D46846">
        <w:t>g. može se unaprijed isključiti značajan negativan utjecaj na ciljeve očuvanja i cjelovitost područja ekološke mreže te se Uprava za zaštitu prirode očituje da za Strateške planske dokumente razvoja željezničkog sustava u Republici Hrvatskoj (Strategija razvoja željezničkog sustava, Nacionalni plan razvoja željezničke infrastrukture, Nacionalni plan upravljanja željezničkom infrastrukturom i uslužnim objektima i razvoja usluga željezničkog prijevoza) nije potrebno provesti postupak Prethodne ocjene</w:t>
      </w:r>
      <w:r>
        <w:t>,</w:t>
      </w:r>
      <w:r w:rsidR="00D46846">
        <w:t xml:space="preserve"> odnosno Glavne ocjene prihvatljivosti za ekološku mrežu sukladno odredbama Zakona o zaštite prirode. </w:t>
      </w:r>
    </w:p>
    <w:bookmarkEnd w:id="114"/>
    <w:p w14:paraId="4ACFE5E0" w14:textId="77777777" w:rsidR="00817609" w:rsidRDefault="00817609" w:rsidP="00001FEA">
      <w:pPr>
        <w:spacing w:line="240" w:lineRule="auto"/>
        <w:jc w:val="left"/>
      </w:pPr>
      <w:r>
        <w:br w:type="page"/>
      </w:r>
    </w:p>
    <w:p w14:paraId="24B28FEE" w14:textId="77777777" w:rsidR="00817609" w:rsidRDefault="00D46846" w:rsidP="00D46846">
      <w:pPr>
        <w:pStyle w:val="Naslov1"/>
        <w:numPr>
          <w:ilvl w:val="0"/>
          <w:numId w:val="0"/>
        </w:numPr>
      </w:pPr>
      <w:bookmarkStart w:id="116" w:name="_Ref115872117"/>
      <w:bookmarkStart w:id="117" w:name="_Toc122335637"/>
      <w:bookmarkStart w:id="118" w:name="_Ref115352947"/>
      <w:r>
        <w:lastRenderedPageBreak/>
        <w:t xml:space="preserve">Prilog 1. </w:t>
      </w:r>
      <w:r w:rsidR="00817609">
        <w:t>Akcijski plan za provedbu Nacionalnog plana</w:t>
      </w:r>
      <w:bookmarkEnd w:id="116"/>
      <w:bookmarkEnd w:id="117"/>
      <w:r w:rsidR="00817609">
        <w:t xml:space="preserve"> </w:t>
      </w:r>
      <w:bookmarkEnd w:id="118"/>
    </w:p>
    <w:p w14:paraId="714850DC" w14:textId="77777777" w:rsidR="00817609" w:rsidRDefault="00817609" w:rsidP="00001FEA"/>
    <w:p w14:paraId="7E52F8FC" w14:textId="7E0C8BFB" w:rsidR="00D46846" w:rsidRDefault="00D46846" w:rsidP="00D46846">
      <w:bookmarkStart w:id="119" w:name="_Toc108003251"/>
      <w:r w:rsidRPr="008943DB">
        <w:t>Akcijski plan za provedbu Nacionalnog plana pripremljen je za trogodišnje razdoblje (</w:t>
      </w:r>
      <w:r w:rsidR="007D2156">
        <w:t>do</w:t>
      </w:r>
      <w:r w:rsidRPr="008943DB">
        <w:t xml:space="preserve"> 2024.) te sadrži pregled glavnih mjera s pokazateljima rezultata, rokovima i nositeljima provedbe te procjenom fiskalnog učinka. </w:t>
      </w:r>
    </w:p>
    <w:p w14:paraId="5026DF7F" w14:textId="77777777" w:rsidR="00D46846" w:rsidRPr="008943DB" w:rsidRDefault="00D46846" w:rsidP="00D46846"/>
    <w:p w14:paraId="7E58E007" w14:textId="77777777" w:rsidR="002053C8" w:rsidRPr="004C70A4" w:rsidRDefault="002053C8" w:rsidP="00405932">
      <w:pPr>
        <w:pStyle w:val="Naslov2"/>
        <w:numPr>
          <w:ilvl w:val="0"/>
          <w:numId w:val="0"/>
        </w:numPr>
      </w:pPr>
      <w:bookmarkStart w:id="120" w:name="_Toc122335638"/>
      <w:r w:rsidRPr="004C70A4">
        <w:t>Posebni cilj(</w:t>
      </w:r>
      <w:proofErr w:type="spellStart"/>
      <w:r w:rsidRPr="004C70A4">
        <w:t>evi</w:t>
      </w:r>
      <w:proofErr w:type="spellEnd"/>
      <w:r w:rsidRPr="004C70A4">
        <w:t>)</w:t>
      </w:r>
      <w:bookmarkEnd w:id="119"/>
      <w:bookmarkEnd w:id="120"/>
      <w:r w:rsidRPr="004C70A4">
        <w:t xml:space="preserve"> </w:t>
      </w:r>
    </w:p>
    <w:p w14:paraId="32976507" w14:textId="3F9BD2C8" w:rsidR="00D46846" w:rsidRDefault="00D46846" w:rsidP="00D46846">
      <w:bookmarkStart w:id="121" w:name="_Toc108787165"/>
      <w:r w:rsidRPr="008943DB">
        <w:t xml:space="preserve">U nastavku su prikazani </w:t>
      </w:r>
      <w:r>
        <w:t>indikativna sredstva za provedbu posebnih ciljeva</w:t>
      </w:r>
      <w:r w:rsidRPr="008943DB">
        <w:t xml:space="preserve"> u razdoblju do 2024. godine.</w:t>
      </w:r>
    </w:p>
    <w:p w14:paraId="750B9A60" w14:textId="0E7A35AA" w:rsidR="00D46846" w:rsidRDefault="00D46846" w:rsidP="00D46846">
      <w:pPr>
        <w:pStyle w:val="Tijeloteksta"/>
      </w:pPr>
      <w:bookmarkStart w:id="122" w:name="_Toc116069153"/>
      <w:bookmarkStart w:id="123" w:name="_Toc122536071"/>
      <w:r w:rsidRPr="00D46846">
        <w:t xml:space="preserve">Tablica </w:t>
      </w:r>
      <w:r w:rsidRPr="00D46846">
        <w:fldChar w:fldCharType="begin"/>
      </w:r>
      <w:r w:rsidRPr="00D46846">
        <w:instrText xml:space="preserve"> SEQ Tablica \* ARABIC </w:instrText>
      </w:r>
      <w:r w:rsidRPr="00D46846">
        <w:fldChar w:fldCharType="separate"/>
      </w:r>
      <w:r w:rsidR="003E26CB">
        <w:rPr>
          <w:noProof/>
        </w:rPr>
        <w:t>7</w:t>
      </w:r>
      <w:r w:rsidRPr="00D46846">
        <w:fldChar w:fldCharType="end"/>
      </w:r>
      <w:r w:rsidR="00FA3CB1">
        <w:t>:</w:t>
      </w:r>
      <w:r w:rsidRPr="00D46846">
        <w:t xml:space="preserve"> Indikativn</w:t>
      </w:r>
      <w:r w:rsidR="00764938">
        <w:t>a</w:t>
      </w:r>
      <w:r w:rsidRPr="00D46846">
        <w:t xml:space="preserve"> financijsk</w:t>
      </w:r>
      <w:r w:rsidR="00764938">
        <w:t>a sredstva za provedbu</w:t>
      </w:r>
      <w:r w:rsidRPr="00D46846">
        <w:t xml:space="preserve"> akcijsk</w:t>
      </w:r>
      <w:r w:rsidR="00764938">
        <w:t>og</w:t>
      </w:r>
      <w:r w:rsidRPr="00D46846">
        <w:t xml:space="preserve"> plan</w:t>
      </w:r>
      <w:r w:rsidR="00764938">
        <w:t>a</w:t>
      </w:r>
      <w:r w:rsidRPr="00D46846">
        <w:t xml:space="preserve"> (u €</w:t>
      </w:r>
      <w:r w:rsidRPr="00D46846">
        <w:rPr>
          <w:rStyle w:val="Referencafusnote"/>
        </w:rPr>
        <w:footnoteReference w:id="5"/>
      </w:r>
      <w:r w:rsidRPr="00D46846">
        <w:t>)</w:t>
      </w:r>
      <w:bookmarkEnd w:id="122"/>
      <w:bookmarkEnd w:id="123"/>
      <w:r w:rsidRPr="008943DB">
        <w:t xml:space="preserve"> </w:t>
      </w:r>
    </w:p>
    <w:tbl>
      <w:tblPr>
        <w:tblStyle w:val="Svijetlatablicareetke-isticanje1"/>
        <w:tblW w:w="7611" w:type="dxa"/>
        <w:jc w:val="center"/>
        <w:tblLook w:val="04A0" w:firstRow="1" w:lastRow="0" w:firstColumn="1" w:lastColumn="0" w:noHBand="0" w:noVBand="1"/>
      </w:tblPr>
      <w:tblGrid>
        <w:gridCol w:w="2122"/>
        <w:gridCol w:w="1329"/>
        <w:gridCol w:w="1458"/>
        <w:gridCol w:w="1240"/>
        <w:gridCol w:w="1462"/>
      </w:tblGrid>
      <w:tr w:rsidR="003E26CB" w:rsidRPr="003C7FB8" w14:paraId="4A185254" w14:textId="77777777" w:rsidTr="003E2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bookmarkEnd w:id="121"/>
          <w:p w14:paraId="17B30EDE" w14:textId="77777777" w:rsidR="003E26CB" w:rsidRPr="003C7FB8" w:rsidRDefault="003E26CB" w:rsidP="000438BE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troškovi sveukupno</w:t>
            </w:r>
          </w:p>
        </w:tc>
        <w:tc>
          <w:tcPr>
            <w:tcW w:w="1329" w:type="dxa"/>
            <w:noWrap/>
            <w:vAlign w:val="center"/>
            <w:hideMark/>
          </w:tcPr>
          <w:p w14:paraId="4B4E129F" w14:textId="77777777" w:rsidR="003E26CB" w:rsidRPr="003C7FB8" w:rsidRDefault="003E26CB" w:rsidP="003E26C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2022.</w:t>
            </w:r>
          </w:p>
        </w:tc>
        <w:tc>
          <w:tcPr>
            <w:tcW w:w="1458" w:type="dxa"/>
            <w:noWrap/>
            <w:vAlign w:val="center"/>
            <w:hideMark/>
          </w:tcPr>
          <w:p w14:paraId="0D2D2B8A" w14:textId="77777777" w:rsidR="003E26CB" w:rsidRPr="003C7FB8" w:rsidRDefault="003E26CB" w:rsidP="003E26C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240" w:type="dxa"/>
            <w:noWrap/>
            <w:vAlign w:val="center"/>
            <w:hideMark/>
          </w:tcPr>
          <w:p w14:paraId="18EC1571" w14:textId="77777777" w:rsidR="003E26CB" w:rsidRPr="003C7FB8" w:rsidRDefault="003E26CB" w:rsidP="003E26C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462" w:type="dxa"/>
            <w:noWrap/>
            <w:vAlign w:val="center"/>
            <w:hideMark/>
          </w:tcPr>
          <w:p w14:paraId="068226D4" w14:textId="1B2269A1" w:rsidR="003E26CB" w:rsidRPr="003C7FB8" w:rsidRDefault="003E26CB" w:rsidP="003E26C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2022. </w:t>
            </w:r>
            <w:r w:rsidRPr="003C7FB8"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  <w:t>–</w:t>
            </w: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24</w:t>
            </w: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7D4828" w:rsidRPr="003C7FB8" w14:paraId="67E1AB80" w14:textId="77777777" w:rsidTr="003E26CB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221B4D04" w14:textId="77777777" w:rsidR="007D4828" w:rsidRPr="003C7FB8" w:rsidRDefault="007D4828" w:rsidP="007D4828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  <w:tc>
          <w:tcPr>
            <w:tcW w:w="1329" w:type="dxa"/>
            <w:noWrap/>
            <w:vAlign w:val="center"/>
          </w:tcPr>
          <w:p w14:paraId="0C664688" w14:textId="2366ECA3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70.382.905,30</w:t>
            </w:r>
          </w:p>
        </w:tc>
        <w:tc>
          <w:tcPr>
            <w:tcW w:w="1458" w:type="dxa"/>
            <w:noWrap/>
            <w:vAlign w:val="center"/>
          </w:tcPr>
          <w:p w14:paraId="4AAC8C19" w14:textId="5AB95292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83.783.131,08</w:t>
            </w:r>
          </w:p>
        </w:tc>
        <w:tc>
          <w:tcPr>
            <w:tcW w:w="1240" w:type="dxa"/>
            <w:noWrap/>
            <w:vAlign w:val="center"/>
          </w:tcPr>
          <w:p w14:paraId="588779DD" w14:textId="592E8083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66.507.399,30</w:t>
            </w:r>
          </w:p>
        </w:tc>
        <w:tc>
          <w:tcPr>
            <w:tcW w:w="1462" w:type="dxa"/>
            <w:noWrap/>
            <w:vAlign w:val="center"/>
          </w:tcPr>
          <w:p w14:paraId="062C2DB2" w14:textId="3B26D43D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220.673.435,68</w:t>
            </w:r>
          </w:p>
        </w:tc>
      </w:tr>
      <w:tr w:rsidR="007D4828" w:rsidRPr="003C7FB8" w14:paraId="20140EDD" w14:textId="77777777" w:rsidTr="003E26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577D4349" w14:textId="77777777" w:rsidR="007D4828" w:rsidRPr="003C7FB8" w:rsidRDefault="007D4828" w:rsidP="007D4828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  <w:tc>
          <w:tcPr>
            <w:tcW w:w="1329" w:type="dxa"/>
            <w:noWrap/>
            <w:vAlign w:val="center"/>
          </w:tcPr>
          <w:p w14:paraId="7B8B3609" w14:textId="25701721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58" w:type="dxa"/>
            <w:noWrap/>
            <w:vAlign w:val="center"/>
          </w:tcPr>
          <w:p w14:paraId="26A4F467" w14:textId="62D0EF8D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85.853.739,00</w:t>
            </w:r>
          </w:p>
        </w:tc>
        <w:tc>
          <w:tcPr>
            <w:tcW w:w="1240" w:type="dxa"/>
            <w:noWrap/>
            <w:vAlign w:val="center"/>
          </w:tcPr>
          <w:p w14:paraId="2140D415" w14:textId="29394CB6" w:rsidR="007D4828" w:rsidRPr="00F12735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13.837.945,00</w:t>
            </w:r>
          </w:p>
        </w:tc>
        <w:tc>
          <w:tcPr>
            <w:tcW w:w="1462" w:type="dxa"/>
            <w:noWrap/>
            <w:vAlign w:val="center"/>
          </w:tcPr>
          <w:p w14:paraId="4BE80BA8" w14:textId="7CDE55C2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99.691.684,00</w:t>
            </w:r>
          </w:p>
        </w:tc>
      </w:tr>
      <w:tr w:rsidR="007D4828" w:rsidRPr="003C7FB8" w14:paraId="67FA6C36" w14:textId="77777777" w:rsidTr="003E26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3C8AFE2A" w14:textId="77777777" w:rsidR="007D4828" w:rsidRPr="003C7FB8" w:rsidRDefault="007D4828" w:rsidP="007D4828">
            <w:pPr>
              <w:spacing w:line="240" w:lineRule="auto"/>
              <w:jc w:val="center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SVEUKUPNO IZVORI FINANCIRANJA</w:t>
            </w:r>
            <w:r w:rsidRPr="003C7FB8"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1329" w:type="dxa"/>
            <w:noWrap/>
            <w:vAlign w:val="center"/>
          </w:tcPr>
          <w:p w14:paraId="3B456ED8" w14:textId="48B1A321" w:rsidR="007D4828" w:rsidRPr="003E26CB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70.382.905,30</w:t>
            </w:r>
          </w:p>
        </w:tc>
        <w:tc>
          <w:tcPr>
            <w:tcW w:w="1458" w:type="dxa"/>
            <w:noWrap/>
            <w:vAlign w:val="center"/>
          </w:tcPr>
          <w:p w14:paraId="71BA2949" w14:textId="6B0E0B41" w:rsidR="007D4828" w:rsidRPr="003E26CB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169.636.870,08</w:t>
            </w:r>
          </w:p>
        </w:tc>
        <w:tc>
          <w:tcPr>
            <w:tcW w:w="1240" w:type="dxa"/>
            <w:noWrap/>
            <w:vAlign w:val="center"/>
          </w:tcPr>
          <w:p w14:paraId="0DCEC70A" w14:textId="70A01254" w:rsidR="007D4828" w:rsidRPr="003E26CB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80.345.344,30</w:t>
            </w:r>
          </w:p>
        </w:tc>
        <w:tc>
          <w:tcPr>
            <w:tcW w:w="1462" w:type="dxa"/>
            <w:noWrap/>
            <w:vAlign w:val="center"/>
          </w:tcPr>
          <w:p w14:paraId="507307AE" w14:textId="4EC9D5DC" w:rsidR="007D4828" w:rsidRPr="007D4828" w:rsidRDefault="007D4828" w:rsidP="007D48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7D4828">
              <w:rPr>
                <w:rFonts w:cs="Arial"/>
                <w:b/>
                <w:bCs/>
                <w:color w:val="000000"/>
                <w:sz w:val="14"/>
                <w:szCs w:val="14"/>
              </w:rPr>
              <w:t>320.365.119,68</w:t>
            </w:r>
          </w:p>
        </w:tc>
      </w:tr>
    </w:tbl>
    <w:p w14:paraId="21AFFEDA" w14:textId="77777777" w:rsidR="00EC130B" w:rsidRDefault="00EC130B" w:rsidP="00001FEA">
      <w:pPr>
        <w:spacing w:line="240" w:lineRule="auto"/>
        <w:jc w:val="left"/>
      </w:pPr>
    </w:p>
    <w:p w14:paraId="77D0C184" w14:textId="77777777" w:rsidR="002053C8" w:rsidRDefault="002053C8" w:rsidP="00405932">
      <w:pPr>
        <w:pStyle w:val="Naslov2"/>
        <w:numPr>
          <w:ilvl w:val="0"/>
          <w:numId w:val="0"/>
        </w:numPr>
      </w:pPr>
      <w:bookmarkStart w:id="124" w:name="_Toc108003252"/>
      <w:bookmarkStart w:id="125" w:name="_Toc122335639"/>
      <w:r w:rsidRPr="004C70A4">
        <w:t>Mjere</w:t>
      </w:r>
      <w:r>
        <w:t xml:space="preserve">, projekti i aktivnosti </w:t>
      </w:r>
      <w:r w:rsidRPr="004C70A4">
        <w:t>za provedbu posebnih ciljeva</w:t>
      </w:r>
      <w:bookmarkEnd w:id="124"/>
      <w:bookmarkEnd w:id="125"/>
      <w:r w:rsidRPr="004C70A4">
        <w:t xml:space="preserve"> </w:t>
      </w:r>
    </w:p>
    <w:p w14:paraId="1E9CDA5E" w14:textId="6DE0F178" w:rsidR="00D46846" w:rsidRDefault="00D46846" w:rsidP="00D46846">
      <w:r w:rsidRPr="008943DB">
        <w:t xml:space="preserve">U nastavku su prikazane mjere za provedbu posebnih ciljeva za razdoblje </w:t>
      </w:r>
      <w:r w:rsidR="00FA3CB1">
        <w:t>do</w:t>
      </w:r>
      <w:r w:rsidRPr="008943DB">
        <w:t xml:space="preserve"> 2024. godine. Za pojedine mjere prikazan</w:t>
      </w:r>
      <w:r>
        <w:t xml:space="preserve">i su </w:t>
      </w:r>
      <w:r w:rsidRPr="008943DB">
        <w:t>rokovi</w:t>
      </w:r>
      <w:r>
        <w:t xml:space="preserve"> provedbe, </w:t>
      </w:r>
      <w:r w:rsidRPr="008943DB">
        <w:t>pokazatelji rezultata provedbe</w:t>
      </w:r>
      <w:r w:rsidR="00FA3CB1">
        <w:t>,</w:t>
      </w:r>
      <w:r w:rsidRPr="008943DB">
        <w:t xml:space="preserve"> nositelji provedb</w:t>
      </w:r>
      <w:r>
        <w:t xml:space="preserve">e te izvori financiranja. </w:t>
      </w:r>
    </w:p>
    <w:p w14:paraId="027213E8" w14:textId="77777777" w:rsidR="004A563B" w:rsidRDefault="004A563B" w:rsidP="00001FEA">
      <w:pPr>
        <w:rPr>
          <w:b/>
          <w:bCs/>
        </w:rPr>
        <w:sectPr w:rsidR="004A563B" w:rsidSect="00D5657C">
          <w:pgSz w:w="11906" w:h="16838"/>
          <w:pgMar w:top="851" w:right="1440" w:bottom="2410" w:left="1843" w:header="708" w:footer="1198" w:gutter="0"/>
          <w:cols w:space="708"/>
          <w:docGrid w:linePitch="360"/>
        </w:sectPr>
      </w:pPr>
    </w:p>
    <w:p w14:paraId="6D7250E5" w14:textId="3A0E93E1" w:rsidR="00EC130B" w:rsidRPr="00EC130B" w:rsidRDefault="00EC130B" w:rsidP="00001FEA">
      <w:pPr>
        <w:pStyle w:val="Tijeloteksta"/>
      </w:pPr>
      <w:bookmarkStart w:id="126" w:name="_Toc122536072"/>
      <w:r w:rsidRPr="004C70A4">
        <w:lastRenderedPageBreak/>
        <w:t xml:space="preserve">Tablica </w:t>
      </w:r>
      <w:r w:rsidRPr="004C70A4">
        <w:fldChar w:fldCharType="begin"/>
      </w:r>
      <w:r w:rsidRPr="004C70A4">
        <w:instrText xml:space="preserve"> SEQ Tablica \* ARABIC </w:instrText>
      </w:r>
      <w:r w:rsidRPr="004C70A4">
        <w:fldChar w:fldCharType="separate"/>
      </w:r>
      <w:r w:rsidR="003E26CB">
        <w:rPr>
          <w:noProof/>
        </w:rPr>
        <w:t>8</w:t>
      </w:r>
      <w:r w:rsidRPr="004C70A4">
        <w:fldChar w:fldCharType="end"/>
      </w:r>
      <w:r w:rsidR="00FA3CB1">
        <w:t>:</w:t>
      </w:r>
      <w:r>
        <w:t xml:space="preserve"> </w:t>
      </w:r>
      <w:r w:rsidR="0026012E" w:rsidRPr="0026012E">
        <w:t>Akcijski plan za provedbu posebnih ciljeva</w:t>
      </w:r>
      <w:bookmarkEnd w:id="126"/>
      <w:r>
        <w:t xml:space="preserve"> </w:t>
      </w:r>
    </w:p>
    <w:tbl>
      <w:tblPr>
        <w:tblStyle w:val="Svijetlatablicareetke-isticanje1"/>
        <w:tblW w:w="14809" w:type="dxa"/>
        <w:jc w:val="center"/>
        <w:tblLook w:val="04A0" w:firstRow="1" w:lastRow="0" w:firstColumn="1" w:lastColumn="0" w:noHBand="0" w:noVBand="1"/>
      </w:tblPr>
      <w:tblGrid>
        <w:gridCol w:w="1284"/>
        <w:gridCol w:w="2377"/>
        <w:gridCol w:w="1283"/>
        <w:gridCol w:w="2696"/>
        <w:gridCol w:w="1427"/>
        <w:gridCol w:w="1151"/>
        <w:gridCol w:w="2060"/>
        <w:gridCol w:w="2531"/>
      </w:tblGrid>
      <w:tr w:rsidR="005C664A" w:rsidRPr="000E7301" w14:paraId="1193E311" w14:textId="77777777" w:rsidTr="0033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Align w:val="center"/>
          </w:tcPr>
          <w:p w14:paraId="55964213" w14:textId="77777777" w:rsidR="005C664A" w:rsidRPr="009B43A7" w:rsidRDefault="005C664A" w:rsidP="005C664A">
            <w:pPr>
              <w:jc w:val="center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Posebni cilj</w:t>
            </w:r>
          </w:p>
        </w:tc>
        <w:tc>
          <w:tcPr>
            <w:tcW w:w="2377" w:type="dxa"/>
            <w:vAlign w:val="center"/>
          </w:tcPr>
          <w:p w14:paraId="0071BE6E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</w:t>
            </w: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jera</w:t>
            </w:r>
          </w:p>
        </w:tc>
        <w:tc>
          <w:tcPr>
            <w:tcW w:w="1283" w:type="dxa"/>
            <w:vAlign w:val="center"/>
          </w:tcPr>
          <w:p w14:paraId="26A3282D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highlight w:val="yellow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r</w:t>
            </w: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ok provedbe mjere (godina)</w:t>
            </w:r>
          </w:p>
        </w:tc>
        <w:tc>
          <w:tcPr>
            <w:tcW w:w="2696" w:type="dxa"/>
            <w:vAlign w:val="center"/>
          </w:tcPr>
          <w:p w14:paraId="5C491240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p</w:t>
            </w: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okazatelj rezultata mjere</w:t>
            </w:r>
          </w:p>
        </w:tc>
        <w:tc>
          <w:tcPr>
            <w:tcW w:w="1427" w:type="dxa"/>
            <w:vAlign w:val="center"/>
          </w:tcPr>
          <w:p w14:paraId="7A4E06AA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c</w:t>
            </w:r>
            <w:r w:rsidRPr="00380D9E">
              <w:rPr>
                <w:rFonts w:cs="Arial"/>
                <w:color w:val="000000"/>
                <w:sz w:val="16"/>
                <w:szCs w:val="16"/>
                <w:lang w:eastAsia="hr-HR"/>
              </w:rPr>
              <w:t>iljna vrijednost pokazatelja rezultata</w:t>
            </w:r>
          </w:p>
        </w:tc>
        <w:tc>
          <w:tcPr>
            <w:tcW w:w="1151" w:type="dxa"/>
            <w:vAlign w:val="center"/>
          </w:tcPr>
          <w:p w14:paraId="1E628F03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</w:t>
            </w: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ositelj provedbe</w:t>
            </w:r>
          </w:p>
        </w:tc>
        <w:tc>
          <w:tcPr>
            <w:tcW w:w="2060" w:type="dxa"/>
            <w:vAlign w:val="center"/>
          </w:tcPr>
          <w:p w14:paraId="46152541" w14:textId="70A10F9D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Procijenjeni trošak provedbe posebnog cilja u razdoblju provedbe Akcijskog plana </w:t>
            </w:r>
            <w:r w:rsidR="00600A56">
              <w:rPr>
                <w:rFonts w:cs="Arial"/>
                <w:color w:val="000000"/>
                <w:sz w:val="16"/>
                <w:szCs w:val="16"/>
                <w:lang w:eastAsia="hr-HR"/>
              </w:rPr>
              <w:t>do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2024.</w:t>
            </w:r>
          </w:p>
          <w:p w14:paraId="34430D2C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(EUR)</w:t>
            </w:r>
          </w:p>
        </w:tc>
        <w:tc>
          <w:tcPr>
            <w:tcW w:w="2531" w:type="dxa"/>
            <w:vAlign w:val="center"/>
          </w:tcPr>
          <w:p w14:paraId="0B5D33AB" w14:textId="77777777" w:rsidR="005C664A" w:rsidRPr="009B43A7" w:rsidRDefault="005C664A" w:rsidP="005C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Izvor financiranja u Državnom proračunu</w:t>
            </w:r>
          </w:p>
        </w:tc>
      </w:tr>
      <w:tr w:rsidR="005C664A" w:rsidRPr="000E7301" w14:paraId="6698CCED" w14:textId="77777777" w:rsidTr="0033602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 w:val="restart"/>
            <w:vAlign w:val="center"/>
          </w:tcPr>
          <w:p w14:paraId="717AC2A3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9B43A7">
              <w:rPr>
                <w:rFonts w:cs="Arial"/>
                <w:color w:val="000000"/>
                <w:sz w:val="16"/>
                <w:szCs w:val="16"/>
                <w:lang w:eastAsia="hr-HR"/>
              </w:rPr>
              <w:t>1.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4A563B">
              <w:rPr>
                <w:rFonts w:cs="Arial"/>
                <w:color w:val="000000"/>
                <w:sz w:val="16"/>
                <w:szCs w:val="16"/>
                <w:lang w:eastAsia="hr-HR"/>
              </w:rPr>
              <w:t>Poboljšanje održivosti upravljanja željezničkim sustavom</w:t>
            </w:r>
          </w:p>
        </w:tc>
        <w:tc>
          <w:tcPr>
            <w:tcW w:w="2377" w:type="dxa"/>
            <w:vAlign w:val="center"/>
          </w:tcPr>
          <w:p w14:paraId="0D89E1A7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1.1. (I) Višegodišnji ugovor o javnoj usluzi prijevoza putnika</w:t>
            </w:r>
          </w:p>
        </w:tc>
        <w:tc>
          <w:tcPr>
            <w:tcW w:w="1283" w:type="dxa"/>
            <w:vAlign w:val="center"/>
          </w:tcPr>
          <w:p w14:paraId="7DA26FA6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4K/2023</w:t>
            </w:r>
          </w:p>
          <w:p w14:paraId="5BA2250B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4K/2030</w:t>
            </w:r>
          </w:p>
        </w:tc>
        <w:tc>
          <w:tcPr>
            <w:tcW w:w="2696" w:type="dxa"/>
            <w:vAlign w:val="center"/>
          </w:tcPr>
          <w:p w14:paraId="76740D01" w14:textId="694B99DF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</w:t>
            </w:r>
            <w:r w:rsidR="0087622A">
              <w:rPr>
                <w:rFonts w:cs="Arial"/>
                <w:color w:val="000000"/>
                <w:sz w:val="16"/>
                <w:szCs w:val="16"/>
                <w:lang w:eastAsia="hr-HR"/>
              </w:rPr>
              <w:t>Minimalna godišnja d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odijeljena sredstva temeljem PSO ugovora. </w:t>
            </w:r>
          </w:p>
          <w:p w14:paraId="5D23E2C9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Ukupni godišnji prihodi poslovanja prijevoznika s kojim je potpisan PSO. </w:t>
            </w:r>
          </w:p>
          <w:p w14:paraId="44C029F0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3. Ukupan broj ostvarenih vožnji vlakova na godišnjoj razini. </w:t>
            </w:r>
          </w:p>
          <w:p w14:paraId="1B15ABC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4. Broj prijevoznika koji pružaju uslugu javnog prijevoza putnika temeljem sklopljenog PSO ugovora.</w:t>
            </w:r>
          </w:p>
        </w:tc>
        <w:tc>
          <w:tcPr>
            <w:tcW w:w="1427" w:type="dxa"/>
            <w:vAlign w:val="center"/>
          </w:tcPr>
          <w:p w14:paraId="296B2DEF" w14:textId="5B496F9C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</w:t>
            </w:r>
            <w:r w:rsidR="0087622A" w:rsidRPr="0087622A">
              <w:rPr>
                <w:rFonts w:cs="Arial"/>
                <w:color w:val="000000"/>
                <w:sz w:val="16"/>
                <w:szCs w:val="16"/>
                <w:lang w:eastAsia="hr-HR"/>
              </w:rPr>
              <w:t>65.565.067,36</w:t>
            </w:r>
            <w:r w:rsidR="0087622A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0FCDF85A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100 mil € </w:t>
            </w:r>
          </w:p>
          <w:p w14:paraId="6BBD55F5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3. 250.000</w:t>
            </w:r>
          </w:p>
          <w:p w14:paraId="599779DC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4. 1</w:t>
            </w:r>
          </w:p>
        </w:tc>
        <w:tc>
          <w:tcPr>
            <w:tcW w:w="1151" w:type="dxa"/>
            <w:vAlign w:val="center"/>
          </w:tcPr>
          <w:p w14:paraId="232ACF7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3C656983" w14:textId="48DD75D3" w:rsidR="005C664A" w:rsidRPr="009B43A7" w:rsidRDefault="007D4828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D4828">
              <w:rPr>
                <w:rFonts w:cs="Arial"/>
                <w:color w:val="000000"/>
                <w:sz w:val="16"/>
                <w:szCs w:val="16"/>
                <w:lang w:eastAsia="hr-HR"/>
              </w:rPr>
              <w:t>204.924.016,19</w:t>
            </w:r>
          </w:p>
        </w:tc>
        <w:tc>
          <w:tcPr>
            <w:tcW w:w="2531" w:type="dxa"/>
            <w:vAlign w:val="center"/>
          </w:tcPr>
          <w:p w14:paraId="198D8E4D" w14:textId="5BA61BBB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Nacionalni dio </w:t>
            </w:r>
          </w:p>
        </w:tc>
      </w:tr>
      <w:tr w:rsidR="005C664A" w:rsidRPr="000E7301" w14:paraId="1BC85E78" w14:textId="77777777" w:rsidTr="00336027">
        <w:trPr>
          <w:trHeight w:val="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0EFA9FB4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3FCD7CAE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1.2. (R) Reorganizacija ustroja javnih željezničkih društava prema smjernicama OECD-a</w:t>
            </w:r>
          </w:p>
        </w:tc>
        <w:tc>
          <w:tcPr>
            <w:tcW w:w="1283" w:type="dxa"/>
            <w:vAlign w:val="center"/>
          </w:tcPr>
          <w:p w14:paraId="4934F335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4K/2024. </w:t>
            </w:r>
          </w:p>
        </w:tc>
        <w:tc>
          <w:tcPr>
            <w:tcW w:w="2696" w:type="dxa"/>
            <w:vAlign w:val="center"/>
          </w:tcPr>
          <w:p w14:paraId="0F63037C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Broj usvojenih</w:t>
            </w:r>
            <w:r w:rsidRPr="00BC004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smjernic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a</w:t>
            </w:r>
            <w:r w:rsidRPr="00BC004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korporativnog upravljanja Organizacije za ekonomsku suradnju i razvoj (OECD)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27" w:type="dxa"/>
            <w:vAlign w:val="center"/>
          </w:tcPr>
          <w:p w14:paraId="64896D9B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1. 3 </w:t>
            </w:r>
          </w:p>
        </w:tc>
        <w:tc>
          <w:tcPr>
            <w:tcW w:w="1151" w:type="dxa"/>
            <w:vAlign w:val="center"/>
          </w:tcPr>
          <w:p w14:paraId="073ED10B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0FE63E88" w14:textId="77777777" w:rsidR="005C664A" w:rsidRPr="00EE50D0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0EF9AF57" w14:textId="2FD65891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3C0F025D" w14:textId="77777777" w:rsidTr="00336027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70DCEE78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66B5595E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1.3. (R) Racionalizacija poslovanja javnih željezničkih društava</w:t>
            </w:r>
          </w:p>
        </w:tc>
        <w:tc>
          <w:tcPr>
            <w:tcW w:w="1283" w:type="dxa"/>
            <w:vAlign w:val="center"/>
          </w:tcPr>
          <w:p w14:paraId="56325B0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4K/2024.</w:t>
            </w:r>
          </w:p>
        </w:tc>
        <w:tc>
          <w:tcPr>
            <w:tcW w:w="2696" w:type="dxa"/>
            <w:vAlign w:val="center"/>
          </w:tcPr>
          <w:p w14:paraId="64DA898F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Broj izrađenih</w:t>
            </w:r>
            <w:r w:rsidRPr="00BC004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novi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h </w:t>
            </w:r>
            <w:r w:rsidRPr="00BC0044">
              <w:rPr>
                <w:rFonts w:cs="Arial"/>
                <w:color w:val="000000"/>
                <w:sz w:val="16"/>
                <w:szCs w:val="16"/>
                <w:lang w:eastAsia="hr-HR"/>
              </w:rPr>
              <w:t>poslovni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h </w:t>
            </w:r>
            <w:r w:rsidRPr="00BC0044">
              <w:rPr>
                <w:rFonts w:cs="Arial"/>
                <w:color w:val="000000"/>
                <w:sz w:val="16"/>
                <w:szCs w:val="16"/>
                <w:lang w:eastAsia="hr-HR"/>
              </w:rPr>
              <w:t>planov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a javnih društava u skladu s novim strateškim okvirom. </w:t>
            </w:r>
          </w:p>
        </w:tc>
        <w:tc>
          <w:tcPr>
            <w:tcW w:w="1427" w:type="dxa"/>
            <w:vAlign w:val="center"/>
          </w:tcPr>
          <w:p w14:paraId="2EDC1C60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1. 3 </w:t>
            </w:r>
          </w:p>
        </w:tc>
        <w:tc>
          <w:tcPr>
            <w:tcW w:w="1151" w:type="dxa"/>
            <w:vAlign w:val="center"/>
          </w:tcPr>
          <w:p w14:paraId="4D395828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2BF7C2BC" w14:textId="77777777" w:rsidR="005C664A" w:rsidRPr="00EE50D0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5AF675B8" w14:textId="346E3A03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0241684D" w14:textId="77777777" w:rsidTr="00336027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26DA808E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2782881A" w14:textId="62EC44B3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1.4. (I) </w:t>
            </w:r>
            <w:r w:rsidR="007D2156" w:rsidRPr="007D2156">
              <w:rPr>
                <w:rFonts w:cs="Arial"/>
                <w:color w:val="000000"/>
                <w:sz w:val="16"/>
                <w:szCs w:val="16"/>
                <w:lang w:eastAsia="hr-HR"/>
              </w:rPr>
              <w:t>Informatizacija sustava podrške poslovnim procesima željezničkih društava</w:t>
            </w:r>
          </w:p>
        </w:tc>
        <w:tc>
          <w:tcPr>
            <w:tcW w:w="1283" w:type="dxa"/>
            <w:vAlign w:val="center"/>
          </w:tcPr>
          <w:p w14:paraId="55AC0FFB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4K/2024.</w:t>
            </w:r>
          </w:p>
        </w:tc>
        <w:tc>
          <w:tcPr>
            <w:tcW w:w="2696" w:type="dxa"/>
            <w:vAlign w:val="center"/>
          </w:tcPr>
          <w:p w14:paraId="44EDF569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Broj informatiziranih poslovnih procesa.</w:t>
            </w:r>
          </w:p>
          <w:p w14:paraId="77ECA631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Broj sustava za automatsku prodaju karata. </w:t>
            </w:r>
          </w:p>
          <w:p w14:paraId="4CB098F7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3. Broj službenih mjesta s ugrađenim sustavom za informiranje putnika. </w:t>
            </w:r>
          </w:p>
          <w:p w14:paraId="2DE91C9D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4. Broj vlakova s ugrađenim sustavom za informiranje putnika. </w:t>
            </w:r>
          </w:p>
          <w:p w14:paraId="62FB878D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5. </w:t>
            </w:r>
            <w:r w:rsidRPr="004A718C">
              <w:rPr>
                <w:rFonts w:cs="Arial"/>
                <w:color w:val="000000"/>
                <w:sz w:val="16"/>
                <w:szCs w:val="16"/>
                <w:lang w:eastAsia="hr-HR"/>
              </w:rPr>
              <w:t>Broj vlakova s ugrađenim širokopojasnim pristupom internetu</w:t>
            </w:r>
          </w:p>
        </w:tc>
        <w:tc>
          <w:tcPr>
            <w:tcW w:w="1427" w:type="dxa"/>
            <w:vAlign w:val="center"/>
          </w:tcPr>
          <w:p w14:paraId="668C283A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1. 5</w:t>
            </w:r>
          </w:p>
          <w:p w14:paraId="29F02A83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2. 1</w:t>
            </w:r>
          </w:p>
          <w:p w14:paraId="7D9BBD93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3. 35</w:t>
            </w:r>
          </w:p>
          <w:p w14:paraId="5AC4B65F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4. 90</w:t>
            </w:r>
          </w:p>
          <w:p w14:paraId="47955206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5. 28</w:t>
            </w:r>
          </w:p>
        </w:tc>
        <w:tc>
          <w:tcPr>
            <w:tcW w:w="1151" w:type="dxa"/>
            <w:vAlign w:val="center"/>
          </w:tcPr>
          <w:p w14:paraId="46787F27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17B2E63E" w14:textId="2F5C7943" w:rsidR="005C664A" w:rsidRPr="009B43A7" w:rsidRDefault="0087622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4537A1A7" w14:textId="29B5891A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5EF8238C" w14:textId="77777777" w:rsidTr="00336027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224B0347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32C98234" w14:textId="79A1C0E8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M 1.5. (R) </w:t>
            </w:r>
            <w:r w:rsidR="007D2156" w:rsidRPr="007D2156">
              <w:rPr>
                <w:rFonts w:cs="Arial"/>
                <w:color w:val="000000"/>
                <w:sz w:val="16"/>
                <w:szCs w:val="16"/>
                <w:lang w:eastAsia="hr-HR"/>
              </w:rPr>
              <w:t>Aktivacija i bolje iskorištavanje suvišne imovine javnih željezničkih društava</w:t>
            </w:r>
          </w:p>
        </w:tc>
        <w:tc>
          <w:tcPr>
            <w:tcW w:w="1283" w:type="dxa"/>
            <w:vAlign w:val="center"/>
          </w:tcPr>
          <w:p w14:paraId="7794D356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4K/2023.</w:t>
            </w:r>
          </w:p>
        </w:tc>
        <w:tc>
          <w:tcPr>
            <w:tcW w:w="2696" w:type="dxa"/>
            <w:vAlign w:val="center"/>
          </w:tcPr>
          <w:p w14:paraId="237C914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Ukupan broj objekata koji se koriste u drugu namjenu. </w:t>
            </w:r>
          </w:p>
        </w:tc>
        <w:tc>
          <w:tcPr>
            <w:tcW w:w="1427" w:type="dxa"/>
            <w:vAlign w:val="center"/>
          </w:tcPr>
          <w:p w14:paraId="7CDD9D77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1. 25 </w:t>
            </w:r>
          </w:p>
        </w:tc>
        <w:tc>
          <w:tcPr>
            <w:tcW w:w="1151" w:type="dxa"/>
            <w:vAlign w:val="center"/>
          </w:tcPr>
          <w:p w14:paraId="5CEECE2C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50685635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4DC0227E" w14:textId="3BD19511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7B5C6AEA" w14:textId="77777777" w:rsidTr="00336027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7078A1A6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5EDE5DCE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M 1.6. (R) Financijsko i poslovno restrukturiranje društva HŽ </w:t>
            </w:r>
            <w:proofErr w:type="spellStart"/>
            <w:r w:rsidRPr="001F04CC">
              <w:rPr>
                <w:rFonts w:cs="Arial"/>
                <w:sz w:val="16"/>
                <w:szCs w:val="16"/>
                <w:lang w:eastAsia="hr-HR"/>
              </w:rPr>
              <w:t>Cargo</w:t>
            </w:r>
            <w:proofErr w:type="spellEnd"/>
          </w:p>
        </w:tc>
        <w:tc>
          <w:tcPr>
            <w:tcW w:w="1283" w:type="dxa"/>
            <w:vAlign w:val="center"/>
          </w:tcPr>
          <w:p w14:paraId="13C19576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4K/2023. </w:t>
            </w:r>
          </w:p>
        </w:tc>
        <w:tc>
          <w:tcPr>
            <w:tcW w:w="2696" w:type="dxa"/>
            <w:vAlign w:val="center"/>
          </w:tcPr>
          <w:p w14:paraId="048F7962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1. Broj donesenih planova modernizacije društva HŽ </w:t>
            </w:r>
            <w:proofErr w:type="spellStart"/>
            <w:r w:rsidRPr="001F04CC">
              <w:rPr>
                <w:rFonts w:cs="Arial"/>
                <w:sz w:val="16"/>
                <w:szCs w:val="16"/>
                <w:lang w:eastAsia="hr-HR"/>
              </w:rPr>
              <w:t>Cargo</w:t>
            </w:r>
            <w:proofErr w:type="spellEnd"/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27" w:type="dxa"/>
            <w:vAlign w:val="center"/>
          </w:tcPr>
          <w:p w14:paraId="0F3049D8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1. 1 </w:t>
            </w:r>
          </w:p>
        </w:tc>
        <w:tc>
          <w:tcPr>
            <w:tcW w:w="1151" w:type="dxa"/>
            <w:vAlign w:val="center"/>
          </w:tcPr>
          <w:p w14:paraId="4A8DA182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3679E15A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7CC70D76" w14:textId="0AF02C17" w:rsidR="005C664A" w:rsidRPr="001F04CC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00998BA6" w14:textId="77777777" w:rsidTr="00336027">
        <w:trPr>
          <w:trHeight w:val="9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237E8760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481C24CC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M 1.7. (R) Jačanje (podizanje) stručnih kompetencija zaposlenika u željezničkom sustavu</w:t>
            </w:r>
          </w:p>
        </w:tc>
        <w:tc>
          <w:tcPr>
            <w:tcW w:w="1283" w:type="dxa"/>
            <w:vAlign w:val="center"/>
          </w:tcPr>
          <w:p w14:paraId="7ABC856A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4K/2030</w:t>
            </w:r>
          </w:p>
        </w:tc>
        <w:tc>
          <w:tcPr>
            <w:tcW w:w="2696" w:type="dxa"/>
            <w:vAlign w:val="center"/>
          </w:tcPr>
          <w:p w14:paraId="2D573583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1. Broj zaposlenika koji su stekli nova znanja završen</w:t>
            </w:r>
            <w:r>
              <w:rPr>
                <w:rFonts w:cs="Arial"/>
                <w:sz w:val="16"/>
                <w:szCs w:val="16"/>
                <w:lang w:eastAsia="hr-HR"/>
              </w:rPr>
              <w:t>im</w:t>
            </w: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 program</w:t>
            </w:r>
            <w:r>
              <w:rPr>
                <w:rFonts w:cs="Arial"/>
                <w:sz w:val="16"/>
                <w:szCs w:val="16"/>
                <w:lang w:eastAsia="hr-HR"/>
              </w:rPr>
              <w:t>om</w:t>
            </w: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 formalnog obrazovanja. </w:t>
            </w:r>
          </w:p>
          <w:p w14:paraId="05AC9BC4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2. Broj dodijeljenih stipendija u željezničkom sustavu. </w:t>
            </w:r>
          </w:p>
        </w:tc>
        <w:tc>
          <w:tcPr>
            <w:tcW w:w="1427" w:type="dxa"/>
            <w:vAlign w:val="center"/>
          </w:tcPr>
          <w:p w14:paraId="49E05205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1. </w:t>
            </w:r>
          </w:p>
          <w:p w14:paraId="3DB75CEA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2. 20</w:t>
            </w:r>
          </w:p>
        </w:tc>
        <w:tc>
          <w:tcPr>
            <w:tcW w:w="1151" w:type="dxa"/>
            <w:vAlign w:val="center"/>
          </w:tcPr>
          <w:p w14:paraId="3E744158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0CFB99A0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2B413BA2" w14:textId="5EBC163F" w:rsidR="005C664A" w:rsidRPr="001F04CC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13EF2DD9" w14:textId="77777777" w:rsidTr="0033602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 w:val="restart"/>
            <w:vAlign w:val="center"/>
          </w:tcPr>
          <w:p w14:paraId="1D8F11F5" w14:textId="77777777" w:rsidR="005C664A" w:rsidRPr="00DD620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highlight w:val="yellow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9C141A">
              <w:rPr>
                <w:rFonts w:cs="Arial"/>
                <w:color w:val="000000"/>
                <w:sz w:val="16"/>
                <w:szCs w:val="16"/>
                <w:lang w:eastAsia="hr-HR"/>
              </w:rPr>
              <w:t>Unaprjeđenje usluga u željezničkom prijevozu</w:t>
            </w:r>
          </w:p>
        </w:tc>
        <w:tc>
          <w:tcPr>
            <w:tcW w:w="2377" w:type="dxa"/>
            <w:vAlign w:val="center"/>
          </w:tcPr>
          <w:p w14:paraId="14B0B5C1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M 2.1. (I) Unaprjeđenje voznog parka </w:t>
            </w:r>
          </w:p>
        </w:tc>
        <w:tc>
          <w:tcPr>
            <w:tcW w:w="1283" w:type="dxa"/>
            <w:vAlign w:val="center"/>
          </w:tcPr>
          <w:p w14:paraId="5A39729C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4K/2030</w:t>
            </w:r>
          </w:p>
        </w:tc>
        <w:tc>
          <w:tcPr>
            <w:tcW w:w="2696" w:type="dxa"/>
            <w:vAlign w:val="center"/>
          </w:tcPr>
          <w:p w14:paraId="68EEA36C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1. Ukup</w:t>
            </w:r>
            <w:r>
              <w:rPr>
                <w:rFonts w:cs="Arial"/>
                <w:sz w:val="16"/>
                <w:szCs w:val="16"/>
                <w:lang w:eastAsia="hr-HR"/>
              </w:rPr>
              <w:t>an</w:t>
            </w: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 broj novih vozila prema vrsti pogona. </w:t>
            </w:r>
          </w:p>
        </w:tc>
        <w:tc>
          <w:tcPr>
            <w:tcW w:w="1427" w:type="dxa"/>
            <w:vAlign w:val="center"/>
          </w:tcPr>
          <w:p w14:paraId="2600592D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1. 97</w:t>
            </w:r>
          </w:p>
        </w:tc>
        <w:tc>
          <w:tcPr>
            <w:tcW w:w="1151" w:type="dxa"/>
            <w:vAlign w:val="center"/>
          </w:tcPr>
          <w:p w14:paraId="7669DF3F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56A6742A" w14:textId="2971C580" w:rsidR="005C664A" w:rsidRPr="001F04CC" w:rsidRDefault="007D4828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7D4828">
              <w:rPr>
                <w:rFonts w:cs="Arial"/>
                <w:sz w:val="16"/>
                <w:szCs w:val="16"/>
                <w:lang w:eastAsia="hr-HR"/>
              </w:rPr>
              <w:t>103.987.125,12</w:t>
            </w:r>
          </w:p>
        </w:tc>
        <w:tc>
          <w:tcPr>
            <w:tcW w:w="2531" w:type="dxa"/>
            <w:vAlign w:val="center"/>
          </w:tcPr>
          <w:p w14:paraId="3F284619" w14:textId="77777777" w:rsidR="00761AD5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  <w:p w14:paraId="5860C840" w14:textId="07160461" w:rsidR="005C664A" w:rsidRPr="001F04CC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</w:tr>
      <w:tr w:rsidR="005C664A" w:rsidRPr="000E7301" w14:paraId="1120A28F" w14:textId="77777777" w:rsidTr="00336027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59BE9534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7F6ECEA4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M 2.2. (I) Unaprjeđenje  usluga održavanja putničkog voznog parka</w:t>
            </w:r>
          </w:p>
        </w:tc>
        <w:tc>
          <w:tcPr>
            <w:tcW w:w="1283" w:type="dxa"/>
            <w:vAlign w:val="center"/>
          </w:tcPr>
          <w:p w14:paraId="58FA7937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3K/2028 </w:t>
            </w:r>
          </w:p>
        </w:tc>
        <w:tc>
          <w:tcPr>
            <w:tcW w:w="2696" w:type="dxa"/>
            <w:vAlign w:val="center"/>
          </w:tcPr>
          <w:p w14:paraId="1C0914C4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1. Broj unaprjeđenih usluga održavanja putničkog voznog parka. </w:t>
            </w:r>
          </w:p>
          <w:p w14:paraId="236E5841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 xml:space="preserve">2. Broj moderniziranih regionalnih centara. </w:t>
            </w:r>
          </w:p>
        </w:tc>
        <w:tc>
          <w:tcPr>
            <w:tcW w:w="1427" w:type="dxa"/>
            <w:vAlign w:val="center"/>
          </w:tcPr>
          <w:p w14:paraId="5B3C802A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1. 5</w:t>
            </w:r>
          </w:p>
          <w:p w14:paraId="3B0DC132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2. 2</w:t>
            </w:r>
          </w:p>
        </w:tc>
        <w:tc>
          <w:tcPr>
            <w:tcW w:w="1151" w:type="dxa"/>
            <w:vAlign w:val="center"/>
          </w:tcPr>
          <w:p w14:paraId="19B97142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HŽPP</w:t>
            </w:r>
          </w:p>
        </w:tc>
        <w:tc>
          <w:tcPr>
            <w:tcW w:w="2060" w:type="dxa"/>
            <w:vAlign w:val="center"/>
          </w:tcPr>
          <w:p w14:paraId="7A3ABF80" w14:textId="5A436876" w:rsidR="005C664A" w:rsidRPr="001F04CC" w:rsidRDefault="002F60C7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3AD17920" w14:textId="13D57DEC" w:rsidR="005C664A" w:rsidRPr="001F04CC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24F270F9" w14:textId="77777777" w:rsidTr="00E94B2B">
        <w:trPr>
          <w:trHeight w:val="1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2C090AF0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71F55B7F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336674">
              <w:rPr>
                <w:rFonts w:cs="Arial"/>
                <w:sz w:val="16"/>
                <w:szCs w:val="16"/>
                <w:lang w:eastAsia="hr-HR"/>
              </w:rPr>
              <w:t>M 2.3. (I) Nadogradnja sustava za informiranje, informatičkog i prodajnog sustava te modernizacija vlakova s informatičkim sustavom</w:t>
            </w:r>
          </w:p>
        </w:tc>
        <w:tc>
          <w:tcPr>
            <w:tcW w:w="1283" w:type="dxa"/>
            <w:vAlign w:val="center"/>
          </w:tcPr>
          <w:p w14:paraId="6CC40DD2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4K/2024</w:t>
            </w:r>
          </w:p>
        </w:tc>
        <w:tc>
          <w:tcPr>
            <w:tcW w:w="2696" w:type="dxa"/>
            <w:vAlign w:val="center"/>
          </w:tcPr>
          <w:p w14:paraId="385326B4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Broj informatiziranih poslovnih procesa.</w:t>
            </w:r>
          </w:p>
          <w:p w14:paraId="69009324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2. Broj sustava za automatsku prodaju karata. </w:t>
            </w:r>
          </w:p>
          <w:p w14:paraId="5619BE6B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3. Broj službenih mjesta sa ugrađenim sustavom za informiranje putnika. </w:t>
            </w:r>
          </w:p>
          <w:p w14:paraId="34AAEFC1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4. Broj vlakova sa ugrađenim sustavom za informiranje putnika. </w:t>
            </w:r>
          </w:p>
          <w:p w14:paraId="1CBC93A3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5. </w:t>
            </w:r>
            <w:r w:rsidRPr="004A718C">
              <w:rPr>
                <w:rFonts w:cs="Arial"/>
                <w:color w:val="000000"/>
                <w:sz w:val="16"/>
                <w:szCs w:val="16"/>
                <w:lang w:eastAsia="hr-HR"/>
              </w:rPr>
              <w:t>Broj vlakova sa ugrađenim širokopojasnim pristupom internetu</w:t>
            </w:r>
          </w:p>
        </w:tc>
        <w:tc>
          <w:tcPr>
            <w:tcW w:w="1427" w:type="dxa"/>
            <w:vAlign w:val="center"/>
          </w:tcPr>
          <w:p w14:paraId="09788380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1. 136</w:t>
            </w:r>
          </w:p>
          <w:p w14:paraId="6F596A36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2. 2</w:t>
            </w:r>
          </w:p>
          <w:p w14:paraId="544C99F8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3. 90</w:t>
            </w:r>
          </w:p>
          <w:p w14:paraId="19BB9EC8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4. 56</w:t>
            </w:r>
          </w:p>
        </w:tc>
        <w:tc>
          <w:tcPr>
            <w:tcW w:w="1151" w:type="dxa"/>
            <w:vAlign w:val="center"/>
          </w:tcPr>
          <w:p w14:paraId="4DC71068" w14:textId="77777777" w:rsidR="005C664A" w:rsidRPr="001F04CC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1F04CC">
              <w:rPr>
                <w:rFonts w:cs="Arial"/>
                <w:sz w:val="16"/>
                <w:szCs w:val="16"/>
                <w:lang w:eastAsia="hr-HR"/>
              </w:rPr>
              <w:t>HŽPP</w:t>
            </w:r>
          </w:p>
        </w:tc>
        <w:tc>
          <w:tcPr>
            <w:tcW w:w="2060" w:type="dxa"/>
            <w:vAlign w:val="center"/>
          </w:tcPr>
          <w:p w14:paraId="68CD56FF" w14:textId="5B5D45AE" w:rsidR="005C664A" w:rsidRPr="001F04CC" w:rsidRDefault="002F60C7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5B8D0355" w14:textId="77777777" w:rsidR="005C664A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  <w:p w14:paraId="1F65F19A" w14:textId="1D390C2C" w:rsidR="00761AD5" w:rsidRPr="001F04CC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</w:tr>
      <w:tr w:rsidR="005C664A" w:rsidRPr="000E7301" w14:paraId="7930E988" w14:textId="77777777" w:rsidTr="009E1BFB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03E4B3A3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77CC2A03" w14:textId="4219A576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4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. (R) 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Uvođenje taktnog voznog reda </w:t>
            </w:r>
          </w:p>
        </w:tc>
        <w:tc>
          <w:tcPr>
            <w:tcW w:w="1283" w:type="dxa"/>
            <w:vAlign w:val="center"/>
          </w:tcPr>
          <w:p w14:paraId="6E749EF6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4K/2023. </w:t>
            </w:r>
          </w:p>
        </w:tc>
        <w:tc>
          <w:tcPr>
            <w:tcW w:w="2696" w:type="dxa"/>
            <w:vAlign w:val="center"/>
          </w:tcPr>
          <w:p w14:paraId="0B033689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Broj željezničkih pruga s taktnim voznim redom. </w:t>
            </w:r>
          </w:p>
        </w:tc>
        <w:tc>
          <w:tcPr>
            <w:tcW w:w="1427" w:type="dxa"/>
            <w:vAlign w:val="center"/>
          </w:tcPr>
          <w:p w14:paraId="154FE04B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1. 6</w:t>
            </w:r>
          </w:p>
        </w:tc>
        <w:tc>
          <w:tcPr>
            <w:tcW w:w="1151" w:type="dxa"/>
            <w:vAlign w:val="center"/>
          </w:tcPr>
          <w:p w14:paraId="345C4B67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HŽPP</w:t>
            </w:r>
          </w:p>
        </w:tc>
        <w:tc>
          <w:tcPr>
            <w:tcW w:w="2060" w:type="dxa"/>
            <w:vAlign w:val="center"/>
          </w:tcPr>
          <w:p w14:paraId="53C5840F" w14:textId="675366E8" w:rsidR="005C664A" w:rsidRPr="009B43A7" w:rsidRDefault="002F60C7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614757AA" w14:textId="77777777" w:rsidR="00761AD5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  <w:p w14:paraId="455C18D1" w14:textId="08FB0E5F" w:rsidR="005C664A" w:rsidRPr="009B43A7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</w:tr>
      <w:tr w:rsidR="005C664A" w:rsidRPr="000E7301" w14:paraId="36D218E9" w14:textId="77777777" w:rsidTr="00336027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647BFDEA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03C8EF6D" w14:textId="6BFB9697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5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. (R) Unaprjeđenje ponude usluga u putničkom prijevozu zahtjevima korisnika</w:t>
            </w:r>
          </w:p>
        </w:tc>
        <w:tc>
          <w:tcPr>
            <w:tcW w:w="1283" w:type="dxa"/>
            <w:vAlign w:val="center"/>
          </w:tcPr>
          <w:p w14:paraId="4E95CDE9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4K/2023.</w:t>
            </w:r>
          </w:p>
        </w:tc>
        <w:tc>
          <w:tcPr>
            <w:tcW w:w="2696" w:type="dxa"/>
            <w:vAlign w:val="center"/>
          </w:tcPr>
          <w:p w14:paraId="64094F0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Broj novih usluga u putničkom prijevozu. </w:t>
            </w:r>
          </w:p>
        </w:tc>
        <w:tc>
          <w:tcPr>
            <w:tcW w:w="1427" w:type="dxa"/>
            <w:vAlign w:val="center"/>
          </w:tcPr>
          <w:p w14:paraId="54293175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1. 5</w:t>
            </w:r>
          </w:p>
        </w:tc>
        <w:tc>
          <w:tcPr>
            <w:tcW w:w="1151" w:type="dxa"/>
            <w:vAlign w:val="center"/>
          </w:tcPr>
          <w:p w14:paraId="4B5B29A6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HŽPP</w:t>
            </w:r>
          </w:p>
        </w:tc>
        <w:tc>
          <w:tcPr>
            <w:tcW w:w="2060" w:type="dxa"/>
            <w:vAlign w:val="center"/>
          </w:tcPr>
          <w:p w14:paraId="03599E79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</w:tcPr>
          <w:p w14:paraId="20214148" w14:textId="35DCC2F6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1AE48478" w14:textId="77777777" w:rsidTr="00761AD5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35126D80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1EFF8C96" w14:textId="2DD4BABD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6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. (R) Uvođenje integriranog prijevoza putnika</w:t>
            </w:r>
          </w:p>
        </w:tc>
        <w:tc>
          <w:tcPr>
            <w:tcW w:w="1283" w:type="dxa"/>
            <w:vAlign w:val="center"/>
          </w:tcPr>
          <w:p w14:paraId="4CC11C1A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4K/2024</w:t>
            </w:r>
          </w:p>
        </w:tc>
        <w:tc>
          <w:tcPr>
            <w:tcW w:w="2696" w:type="dxa"/>
            <w:vAlign w:val="center"/>
          </w:tcPr>
          <w:p w14:paraId="275FE178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Broj željezničkih pruga s uvedenim integriranim prijevozom putnika. </w:t>
            </w:r>
          </w:p>
          <w:p w14:paraId="24599223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lastRenderedPageBreak/>
              <w:t xml:space="preserve">2. Broj osnovanih prometnih uprava. </w:t>
            </w:r>
          </w:p>
        </w:tc>
        <w:tc>
          <w:tcPr>
            <w:tcW w:w="1427" w:type="dxa"/>
            <w:vAlign w:val="center"/>
          </w:tcPr>
          <w:p w14:paraId="1B47FE84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lastRenderedPageBreak/>
              <w:t>1. 15</w:t>
            </w:r>
          </w:p>
          <w:p w14:paraId="33FBD177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2. 5</w:t>
            </w:r>
          </w:p>
        </w:tc>
        <w:tc>
          <w:tcPr>
            <w:tcW w:w="1151" w:type="dxa"/>
            <w:vAlign w:val="center"/>
          </w:tcPr>
          <w:p w14:paraId="5E9F8EF5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2A3C26D8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60AAFE24" w14:textId="5CFB75A3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60D0F891" w14:textId="77777777" w:rsidTr="00761AD5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4BBABDD2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5610ED0A" w14:textId="60409C5C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7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. (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R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) Poticanje usluge teretnog željezničkog prijevoza  </w:t>
            </w:r>
          </w:p>
        </w:tc>
        <w:tc>
          <w:tcPr>
            <w:tcW w:w="1283" w:type="dxa"/>
            <w:vAlign w:val="center"/>
          </w:tcPr>
          <w:p w14:paraId="62628AF9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4K/2023 </w:t>
            </w:r>
          </w:p>
        </w:tc>
        <w:tc>
          <w:tcPr>
            <w:tcW w:w="2696" w:type="dxa"/>
            <w:vAlign w:val="center"/>
          </w:tcPr>
          <w:p w14:paraId="797A5356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 Broj dodijeljenih potpora prijevoznicima.</w:t>
            </w:r>
            <w:r w:rsidRPr="00F20313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14:paraId="64DC051F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1. 25 </w:t>
            </w:r>
          </w:p>
        </w:tc>
        <w:tc>
          <w:tcPr>
            <w:tcW w:w="1151" w:type="dxa"/>
            <w:vAlign w:val="center"/>
          </w:tcPr>
          <w:p w14:paraId="67BD7244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69D58C24" w14:textId="277A7D6F" w:rsidR="005C664A" w:rsidRPr="009B43A7" w:rsidRDefault="007D4828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7D4828">
              <w:rPr>
                <w:rFonts w:cs="Arial"/>
                <w:color w:val="000000"/>
                <w:sz w:val="16"/>
                <w:szCs w:val="16"/>
                <w:lang w:eastAsia="hr-HR"/>
              </w:rPr>
              <w:t>11.453.978,37</w:t>
            </w:r>
          </w:p>
        </w:tc>
        <w:tc>
          <w:tcPr>
            <w:tcW w:w="2531" w:type="dxa"/>
            <w:vAlign w:val="center"/>
          </w:tcPr>
          <w:p w14:paraId="406E416E" w14:textId="184C1639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43605E49" w14:textId="77777777" w:rsidTr="00761AD5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4BDCCA30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70456269" w14:textId="11D9AF25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8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. (I) Unaprjeđenje voznog parka za prijevoz tereta </w:t>
            </w:r>
          </w:p>
        </w:tc>
        <w:tc>
          <w:tcPr>
            <w:tcW w:w="1283" w:type="dxa"/>
            <w:vAlign w:val="center"/>
          </w:tcPr>
          <w:p w14:paraId="30DD4138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4K/2026</w:t>
            </w:r>
          </w:p>
        </w:tc>
        <w:tc>
          <w:tcPr>
            <w:tcW w:w="2696" w:type="dxa"/>
            <w:vAlign w:val="center"/>
          </w:tcPr>
          <w:p w14:paraId="331BCA8D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Broj moderniziranih vozila. </w:t>
            </w:r>
          </w:p>
        </w:tc>
        <w:tc>
          <w:tcPr>
            <w:tcW w:w="1427" w:type="dxa"/>
            <w:vAlign w:val="center"/>
          </w:tcPr>
          <w:p w14:paraId="4C364875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51" w:type="dxa"/>
            <w:vAlign w:val="center"/>
          </w:tcPr>
          <w:p w14:paraId="5986840C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1884AE82" w14:textId="2586C6C4" w:rsidR="005C664A" w:rsidRPr="009B43A7" w:rsidRDefault="002F60C7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35276527" w14:textId="2841A61B" w:rsidR="005C664A" w:rsidRPr="009B43A7" w:rsidRDefault="00761AD5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</w:tc>
      </w:tr>
      <w:tr w:rsidR="005C664A" w:rsidRPr="000E7301" w14:paraId="73E90312" w14:textId="77777777" w:rsidTr="00761AD5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  <w:vMerge/>
            <w:vAlign w:val="center"/>
          </w:tcPr>
          <w:p w14:paraId="630DFD8B" w14:textId="77777777" w:rsidR="005C664A" w:rsidRPr="009B43A7" w:rsidRDefault="005C664A" w:rsidP="005C664A">
            <w:pPr>
              <w:rPr>
                <w:rFonts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7" w:type="dxa"/>
            <w:vAlign w:val="center"/>
          </w:tcPr>
          <w:p w14:paraId="2AC4B455" w14:textId="71AECFB4" w:rsidR="005C664A" w:rsidRPr="00E02F64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M 2.</w:t>
            </w:r>
            <w:r w:rsidR="00541CA0">
              <w:rPr>
                <w:rFonts w:cs="Arial"/>
                <w:color w:val="000000"/>
                <w:sz w:val="16"/>
                <w:szCs w:val="16"/>
                <w:lang w:eastAsia="hr-HR"/>
              </w:rPr>
              <w:t>9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. (R) Unapr</w:t>
            </w: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j</w:t>
            </w:r>
            <w:r w:rsidRPr="00E02F64">
              <w:rPr>
                <w:rFonts w:cs="Arial"/>
                <w:color w:val="000000"/>
                <w:sz w:val="16"/>
                <w:szCs w:val="16"/>
                <w:lang w:eastAsia="hr-HR"/>
              </w:rPr>
              <w:t>eđenje usluga intermodalnog prijevoza</w:t>
            </w:r>
          </w:p>
        </w:tc>
        <w:tc>
          <w:tcPr>
            <w:tcW w:w="1283" w:type="dxa"/>
            <w:vAlign w:val="center"/>
          </w:tcPr>
          <w:p w14:paraId="5746FDDD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4K/2030</w:t>
            </w:r>
          </w:p>
        </w:tc>
        <w:tc>
          <w:tcPr>
            <w:tcW w:w="2696" w:type="dxa"/>
            <w:vAlign w:val="center"/>
          </w:tcPr>
          <w:p w14:paraId="5985F115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Broj novih usluga u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intermodalnom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 prijevozu. </w:t>
            </w:r>
          </w:p>
        </w:tc>
        <w:tc>
          <w:tcPr>
            <w:tcW w:w="1427" w:type="dxa"/>
            <w:vAlign w:val="center"/>
          </w:tcPr>
          <w:p w14:paraId="027E9EC1" w14:textId="77777777" w:rsidR="005C664A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 xml:space="preserve">1. 5 </w:t>
            </w:r>
          </w:p>
        </w:tc>
        <w:tc>
          <w:tcPr>
            <w:tcW w:w="1151" w:type="dxa"/>
            <w:vAlign w:val="center"/>
          </w:tcPr>
          <w:p w14:paraId="4E9D09B6" w14:textId="77777777" w:rsidR="005C664A" w:rsidRPr="009B43A7" w:rsidRDefault="005C664A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MMPI</w:t>
            </w:r>
          </w:p>
        </w:tc>
        <w:tc>
          <w:tcPr>
            <w:tcW w:w="2060" w:type="dxa"/>
            <w:vAlign w:val="center"/>
          </w:tcPr>
          <w:p w14:paraId="798A5C6A" w14:textId="5F477E95" w:rsidR="005C664A" w:rsidRPr="009B43A7" w:rsidRDefault="002F60C7" w:rsidP="005C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n/p</w:t>
            </w:r>
          </w:p>
        </w:tc>
        <w:tc>
          <w:tcPr>
            <w:tcW w:w="2531" w:type="dxa"/>
            <w:vAlign w:val="center"/>
          </w:tcPr>
          <w:p w14:paraId="72EF51A9" w14:textId="77777777" w:rsidR="00761AD5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cs="Arial"/>
                <w:color w:val="000000"/>
                <w:sz w:val="16"/>
                <w:szCs w:val="16"/>
                <w:lang w:eastAsia="hr-HR"/>
              </w:rPr>
              <w:t>Nacionalni dio</w:t>
            </w:r>
          </w:p>
          <w:p w14:paraId="4C08426C" w14:textId="621CAAA4" w:rsidR="005C664A" w:rsidRPr="009B43A7" w:rsidRDefault="00761AD5" w:rsidP="007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eastAsia="hr-HR"/>
              </w:rPr>
            </w:pPr>
            <w:r w:rsidRPr="003C7FB8">
              <w:rPr>
                <w:rFonts w:cs="Arial"/>
                <w:color w:val="000000"/>
                <w:sz w:val="16"/>
                <w:szCs w:val="16"/>
                <w:lang w:eastAsia="hr-HR"/>
              </w:rPr>
              <w:t>EU fondovi</w:t>
            </w:r>
          </w:p>
        </w:tc>
      </w:tr>
    </w:tbl>
    <w:p w14:paraId="4D27C193" w14:textId="77777777" w:rsidR="004A1F4A" w:rsidRPr="004A1F4A" w:rsidRDefault="004A1F4A" w:rsidP="003A1658"/>
    <w:sectPr w:rsidR="004A1F4A" w:rsidRPr="004A1F4A" w:rsidSect="003A1658">
      <w:pgSz w:w="16838" w:h="11906" w:orient="landscape"/>
      <w:pgMar w:top="1418" w:right="1418" w:bottom="1418" w:left="1418" w:header="709" w:footer="1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6D00" w14:textId="77777777" w:rsidR="004C2432" w:rsidRDefault="004C2432" w:rsidP="002721B6">
      <w:r>
        <w:separator/>
      </w:r>
    </w:p>
  </w:endnote>
  <w:endnote w:type="continuationSeparator" w:id="0">
    <w:p w14:paraId="75118894" w14:textId="77777777" w:rsidR="004C2432" w:rsidRDefault="004C2432" w:rsidP="0027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499006"/>
      <w:docPartObj>
        <w:docPartGallery w:val="Page Numbers (Bottom of Page)"/>
        <w:docPartUnique/>
      </w:docPartObj>
    </w:sdtPr>
    <w:sdtContent>
      <w:p w14:paraId="6210334C" w14:textId="77777777" w:rsidR="005135D0" w:rsidRPr="00E22B1B" w:rsidRDefault="00000000" w:rsidP="00D5657C">
        <w:pPr>
          <w:pStyle w:val="Podnoje"/>
          <w:jc w:val="right"/>
        </w:pPr>
        <w:sdt>
          <w:sdtPr>
            <w:id w:val="-826973199"/>
            <w:docPartObj>
              <w:docPartGallery w:val="Page Numbers (Bottom of Page)"/>
              <w:docPartUnique/>
            </w:docPartObj>
          </w:sdtPr>
          <w:sdtContent>
            <w:r w:rsidR="005135D0">
              <w:fldChar w:fldCharType="begin"/>
            </w:r>
            <w:r w:rsidR="005135D0">
              <w:instrText>PAGE   \* MERGEFORMAT</w:instrText>
            </w:r>
            <w:r w:rsidR="005135D0">
              <w:fldChar w:fldCharType="separate"/>
            </w:r>
            <w:r w:rsidR="00EF1852">
              <w:rPr>
                <w:noProof/>
              </w:rPr>
              <w:t>6</w:t>
            </w:r>
            <w:r w:rsidR="005135D0"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454828"/>
      <w:docPartObj>
        <w:docPartGallery w:val="Page Numbers (Bottom of Page)"/>
        <w:docPartUnique/>
      </w:docPartObj>
    </w:sdtPr>
    <w:sdtContent>
      <w:p w14:paraId="60DA72C9" w14:textId="77777777" w:rsidR="005135D0" w:rsidRDefault="005135D0" w:rsidP="00877AE2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76672" behindDoc="0" locked="0" layoutInCell="1" allowOverlap="1" wp14:anchorId="2C8B62FF" wp14:editId="7A61A767">
              <wp:simplePos x="0" y="0"/>
              <wp:positionH relativeFrom="column">
                <wp:posOffset>309494</wp:posOffset>
              </wp:positionH>
              <wp:positionV relativeFrom="paragraph">
                <wp:posOffset>-248837</wp:posOffset>
              </wp:positionV>
              <wp:extent cx="568325" cy="603885"/>
              <wp:effectExtent l="0" t="0" r="3175" b="5715"/>
              <wp:wrapNone/>
              <wp:docPr id="1085" name="Picture 10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" name="Picture 90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8325" cy="603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26FF9" w14:textId="77777777" w:rsidR="005135D0" w:rsidRDefault="005135D0" w:rsidP="002721B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170014"/>
      <w:docPartObj>
        <w:docPartGallery w:val="Page Numbers (Bottom of Page)"/>
        <w:docPartUnique/>
      </w:docPartObj>
    </w:sdtPr>
    <w:sdtContent>
      <w:p w14:paraId="41E6FA79" w14:textId="1CC188F1" w:rsidR="005135D0" w:rsidRDefault="00000000" w:rsidP="00A92C5A">
        <w:pPr>
          <w:pStyle w:val="Podnoje"/>
          <w:jc w:val="right"/>
        </w:pPr>
        <w:sdt>
          <w:sdtPr>
            <w:id w:val="1083568319"/>
            <w:docPartObj>
              <w:docPartGallery w:val="Page Numbers (Bottom of Page)"/>
              <w:docPartUnique/>
            </w:docPartObj>
          </w:sdtPr>
          <w:sdtContent>
            <w:r w:rsidR="00A92C5A">
              <w:fldChar w:fldCharType="begin"/>
            </w:r>
            <w:r w:rsidR="00A92C5A">
              <w:instrText>PAGE   \* MERGEFORMAT</w:instrText>
            </w:r>
            <w:r w:rsidR="00A92C5A">
              <w:fldChar w:fldCharType="separate"/>
            </w:r>
            <w:r w:rsidR="00A92C5A">
              <w:t>2</w:t>
            </w:r>
            <w:r w:rsidR="00A92C5A">
              <w:fldChar w:fldCharType="end"/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995513"/>
      <w:docPartObj>
        <w:docPartGallery w:val="Page Numbers (Bottom of Page)"/>
        <w:docPartUnique/>
      </w:docPartObj>
    </w:sdtPr>
    <w:sdtContent>
      <w:p w14:paraId="5BF0C1E1" w14:textId="77777777" w:rsidR="005135D0" w:rsidRPr="00E22B1B" w:rsidRDefault="005135D0" w:rsidP="00D5657C">
        <w:pPr>
          <w:pStyle w:val="Podnoje"/>
          <w:jc w:val="right"/>
        </w:pPr>
        <w:r w:rsidRPr="004C6865">
          <w:t xml:space="preserve"> </w:t>
        </w:r>
        <w:sdt>
          <w:sdtPr>
            <w:id w:val="294194053"/>
            <w:docPartObj>
              <w:docPartGallery w:val="Page Numbers (Bottom of Page)"/>
              <w:docPartUnique/>
            </w:docPartObj>
          </w:sdtPr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EF1852">
              <w:rPr>
                <w:noProof/>
              </w:rPr>
              <w:t>30</w:t>
            </w:r>
            <w: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068A" w14:textId="77777777" w:rsidR="004C2432" w:rsidRDefault="004C2432" w:rsidP="002721B6">
      <w:r>
        <w:separator/>
      </w:r>
    </w:p>
  </w:footnote>
  <w:footnote w:type="continuationSeparator" w:id="0">
    <w:p w14:paraId="4C28A5F9" w14:textId="77777777" w:rsidR="004C2432" w:rsidRDefault="004C2432" w:rsidP="002721B6">
      <w:r>
        <w:continuationSeparator/>
      </w:r>
    </w:p>
  </w:footnote>
  <w:footnote w:id="1">
    <w:p w14:paraId="4E75DCA5" w14:textId="447819F7" w:rsidR="00A65EE6" w:rsidRDefault="00A65EE6">
      <w:pPr>
        <w:pStyle w:val="Tekstfusnote"/>
      </w:pPr>
      <w:r>
        <w:rPr>
          <w:rStyle w:val="Referencafusnote"/>
        </w:rPr>
        <w:footnoteRef/>
      </w:r>
      <w:r>
        <w:t xml:space="preserve"> Strateški ciljevi </w:t>
      </w:r>
      <w:r w:rsidRPr="008053BC">
        <w:t>Strategije razvoja željezničkog sustava do 2032. godine</w:t>
      </w:r>
    </w:p>
  </w:footnote>
  <w:footnote w:id="2">
    <w:p w14:paraId="0F60014C" w14:textId="77777777" w:rsidR="006230CC" w:rsidRPr="003A4ED3" w:rsidRDefault="006230CC" w:rsidP="006230CC">
      <w:pPr>
        <w:pStyle w:val="Tekstfusnote"/>
      </w:pPr>
      <w:r>
        <w:rPr>
          <w:rStyle w:val="Referencafusnote"/>
          <w:rFonts w:eastAsiaTheme="minorEastAsia"/>
        </w:rPr>
        <w:footnoteRef/>
      </w:r>
      <w:r>
        <w:t xml:space="preserve"> SL L 315, 3.12.2007.</w:t>
      </w:r>
    </w:p>
  </w:footnote>
  <w:footnote w:id="3">
    <w:p w14:paraId="711E8338" w14:textId="77777777" w:rsidR="006230CC" w:rsidRPr="00B92E66" w:rsidRDefault="006230CC" w:rsidP="006230CC">
      <w:pPr>
        <w:pStyle w:val="Tekstfusnote"/>
      </w:pPr>
      <w:r>
        <w:rPr>
          <w:rStyle w:val="Referencafusnote"/>
          <w:rFonts w:eastAsiaTheme="minorEastAsia"/>
        </w:rPr>
        <w:footnoteRef/>
      </w:r>
      <w:r>
        <w:t xml:space="preserve"> SL L 354/2, 23.12.2016.</w:t>
      </w:r>
    </w:p>
  </w:footnote>
  <w:footnote w:id="4">
    <w:p w14:paraId="306B7E10" w14:textId="1D10C693" w:rsidR="005135D0" w:rsidRDefault="005135D0" w:rsidP="000F5379">
      <w:pPr>
        <w:pStyle w:val="Tekstfusnote"/>
      </w:pPr>
      <w:r>
        <w:rPr>
          <w:rStyle w:val="Referencafusnote"/>
        </w:rPr>
        <w:footnoteRef/>
      </w:r>
      <w:r>
        <w:t xml:space="preserve"> 1 € = 7,5345</w:t>
      </w:r>
      <w:r w:rsidR="00600A56">
        <w:t>0</w:t>
      </w:r>
      <w:r>
        <w:t xml:space="preserve"> kn (sukladno Uredbi Vijeća (EU) 2022/1208 od 12. srpnja 2022. o izmjeni Uredbe (EZ) br. 2866/98 u pogledu stope konverzije eura za Hrvatsku (</w:t>
      </w:r>
      <w:r w:rsidRPr="00365C45">
        <w:t>OJ L 187</w:t>
      </w:r>
      <w:r>
        <w:t>))</w:t>
      </w:r>
    </w:p>
  </w:footnote>
  <w:footnote w:id="5">
    <w:p w14:paraId="26CFF8FE" w14:textId="54173910" w:rsidR="005135D0" w:rsidRDefault="005135D0" w:rsidP="00D46846">
      <w:pPr>
        <w:pStyle w:val="Tekstfusnote"/>
      </w:pPr>
      <w:r>
        <w:rPr>
          <w:rStyle w:val="Referencafusnote"/>
        </w:rPr>
        <w:footnoteRef/>
      </w:r>
      <w:r>
        <w:t xml:space="preserve"> 1 € = 7,5345</w:t>
      </w:r>
      <w:r w:rsidR="007D2156">
        <w:t>0</w:t>
      </w:r>
      <w:r>
        <w:t xml:space="preserve"> kn (sukladno Uredbi Vijeća (EU) 2022/1208 od 12. srpnja 2022. o izmjeni Uredbe (EZ) br. 2866/98 u pogledu stope konverzije eura za Hrvatsku (</w:t>
      </w:r>
      <w:r w:rsidRPr="00365C45">
        <w:t>OJ L 187</w:t>
      </w:r>
      <w:r>
        <w:t xml:space="preserve">))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D18C" w14:textId="77777777" w:rsidR="005135D0" w:rsidRPr="00F4126B" w:rsidRDefault="005135D0" w:rsidP="002721B6">
    <w:pPr>
      <w:pStyle w:val="Zaglavlj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2D6"/>
    <w:multiLevelType w:val="hybridMultilevel"/>
    <w:tmpl w:val="87AAFA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00A9F"/>
    <w:multiLevelType w:val="hybridMultilevel"/>
    <w:tmpl w:val="353217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C06E1"/>
    <w:multiLevelType w:val="hybridMultilevel"/>
    <w:tmpl w:val="809C6200"/>
    <w:lvl w:ilvl="0" w:tplc="F3EE96A2">
      <w:start w:val="1"/>
      <w:numFmt w:val="upperRoman"/>
      <w:pStyle w:val="Odlomakpopisa"/>
      <w:lvlText w:val="%1)"/>
      <w:lvlJc w:val="left"/>
      <w:pPr>
        <w:ind w:left="1080" w:hanging="72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6773"/>
    <w:multiLevelType w:val="hybridMultilevel"/>
    <w:tmpl w:val="DEC4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066A"/>
    <w:multiLevelType w:val="multilevel"/>
    <w:tmpl w:val="EBC4721C"/>
    <w:lvl w:ilvl="0">
      <w:start w:val="1"/>
      <w:numFmt w:val="decimal"/>
      <w:pStyle w:val="Naslov1"/>
      <w:lvlText w:val="%1"/>
      <w:lvlJc w:val="left"/>
      <w:pPr>
        <w:tabs>
          <w:tab w:val="num" w:pos="4564"/>
        </w:tabs>
        <w:ind w:left="4564" w:hanging="964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hanging="964"/>
      </w:pPr>
      <w:rPr>
        <w:rFonts w:ascii="Arial" w:hAnsi="Arial" w:cs="Arial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964"/>
        </w:tabs>
        <w:ind w:left="964" w:hanging="964"/>
      </w:pPr>
      <w:rPr>
        <w:b w:val="0"/>
        <w:bCs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344"/>
        </w:tabs>
        <w:ind w:left="1324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274C6E"/>
    <w:multiLevelType w:val="hybridMultilevel"/>
    <w:tmpl w:val="BD90B5CC"/>
    <w:lvl w:ilvl="0" w:tplc="E738D920">
      <w:start w:val="1"/>
      <w:numFmt w:val="decimal"/>
      <w:pStyle w:val="NumberedParagraph"/>
      <w:lvlText w:val="%1."/>
      <w:lvlJc w:val="left"/>
      <w:pPr>
        <w:ind w:left="709" w:firstLine="0"/>
      </w:pPr>
      <w:rPr>
        <w:b/>
        <w:lang w:val="hr-HR"/>
      </w:rPr>
    </w:lvl>
    <w:lvl w:ilvl="1" w:tplc="95B4A130">
      <w:start w:val="1"/>
      <w:numFmt w:val="lowerRoman"/>
      <w:lvlText w:val="(%2)"/>
      <w:lvlJc w:val="left"/>
      <w:pPr>
        <w:ind w:left="630" w:hanging="360"/>
      </w:pPr>
      <w:rPr>
        <w:rFonts w:ascii="Times New Roman" w:eastAsiaTheme="minorHAnsi" w:hAnsi="Times New Roman" w:cs="Times New Roman" w:hint="default"/>
        <w:b w:val="0"/>
      </w:rPr>
    </w:lvl>
    <w:lvl w:ilvl="2" w:tplc="323EFD98">
      <w:start w:val="1"/>
      <w:numFmt w:val="lowerRoman"/>
      <w:lvlText w:val="%3."/>
      <w:lvlJc w:val="right"/>
      <w:pPr>
        <w:ind w:left="2160" w:hanging="180"/>
      </w:pPr>
    </w:lvl>
    <w:lvl w:ilvl="3" w:tplc="5F50EB8A">
      <w:start w:val="1"/>
      <w:numFmt w:val="decimal"/>
      <w:lvlText w:val="%4."/>
      <w:lvlJc w:val="left"/>
      <w:pPr>
        <w:ind w:left="2880" w:hanging="360"/>
      </w:pPr>
    </w:lvl>
    <w:lvl w:ilvl="4" w:tplc="8A08FFA0">
      <w:start w:val="1"/>
      <w:numFmt w:val="lowerLetter"/>
      <w:lvlText w:val="%5."/>
      <w:lvlJc w:val="left"/>
      <w:pPr>
        <w:ind w:left="3600" w:hanging="360"/>
      </w:pPr>
    </w:lvl>
    <w:lvl w:ilvl="5" w:tplc="2B1AF08C">
      <w:start w:val="1"/>
      <w:numFmt w:val="lowerRoman"/>
      <w:lvlText w:val="%6."/>
      <w:lvlJc w:val="right"/>
      <w:pPr>
        <w:ind w:left="4320" w:hanging="180"/>
      </w:pPr>
    </w:lvl>
    <w:lvl w:ilvl="6" w:tplc="AFD88820">
      <w:start w:val="1"/>
      <w:numFmt w:val="decimal"/>
      <w:lvlText w:val="%7."/>
      <w:lvlJc w:val="left"/>
      <w:pPr>
        <w:ind w:left="5040" w:hanging="360"/>
      </w:pPr>
    </w:lvl>
    <w:lvl w:ilvl="7" w:tplc="C5247762">
      <w:start w:val="1"/>
      <w:numFmt w:val="lowerLetter"/>
      <w:lvlText w:val="%8."/>
      <w:lvlJc w:val="left"/>
      <w:pPr>
        <w:ind w:left="5760" w:hanging="360"/>
      </w:pPr>
    </w:lvl>
    <w:lvl w:ilvl="8" w:tplc="547A3D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1C75"/>
    <w:multiLevelType w:val="hybridMultilevel"/>
    <w:tmpl w:val="DB6C8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22ABD"/>
    <w:multiLevelType w:val="hybridMultilevel"/>
    <w:tmpl w:val="581A3B6C"/>
    <w:lvl w:ilvl="0" w:tplc="EF8EB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6260"/>
    <w:multiLevelType w:val="multilevel"/>
    <w:tmpl w:val="6B844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D50726"/>
    <w:multiLevelType w:val="hybridMultilevel"/>
    <w:tmpl w:val="CA92F256"/>
    <w:lvl w:ilvl="0" w:tplc="75E68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6CE5"/>
    <w:multiLevelType w:val="hybridMultilevel"/>
    <w:tmpl w:val="EC922866"/>
    <w:lvl w:ilvl="0" w:tplc="45F2A1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E1F"/>
    <w:multiLevelType w:val="hybridMultilevel"/>
    <w:tmpl w:val="DB340EDC"/>
    <w:lvl w:ilvl="0" w:tplc="65FCF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306A3"/>
    <w:multiLevelType w:val="hybridMultilevel"/>
    <w:tmpl w:val="6A8CE328"/>
    <w:lvl w:ilvl="0" w:tplc="F8962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26CDA"/>
    <w:multiLevelType w:val="hybridMultilevel"/>
    <w:tmpl w:val="2FE6D974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64F33"/>
    <w:multiLevelType w:val="hybridMultilevel"/>
    <w:tmpl w:val="5D38BF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E2075E"/>
    <w:multiLevelType w:val="hybridMultilevel"/>
    <w:tmpl w:val="94D64A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D7623"/>
    <w:multiLevelType w:val="hybridMultilevel"/>
    <w:tmpl w:val="E70C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1466"/>
    <w:multiLevelType w:val="hybridMultilevel"/>
    <w:tmpl w:val="6DC45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6C1"/>
    <w:multiLevelType w:val="hybridMultilevel"/>
    <w:tmpl w:val="861C600E"/>
    <w:lvl w:ilvl="0" w:tplc="8A846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8340E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E4EBF"/>
    <w:multiLevelType w:val="multilevel"/>
    <w:tmpl w:val="C6E60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C10F92"/>
    <w:multiLevelType w:val="hybridMultilevel"/>
    <w:tmpl w:val="AD8206DE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7478B"/>
    <w:multiLevelType w:val="hybridMultilevel"/>
    <w:tmpl w:val="A4467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44AA"/>
    <w:multiLevelType w:val="hybridMultilevel"/>
    <w:tmpl w:val="6C906BF4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4787E"/>
    <w:multiLevelType w:val="hybridMultilevel"/>
    <w:tmpl w:val="8D2A3028"/>
    <w:lvl w:ilvl="0" w:tplc="D74C34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C46D03"/>
    <w:multiLevelType w:val="multilevel"/>
    <w:tmpl w:val="CA4A1F1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8318B2"/>
    <w:multiLevelType w:val="hybridMultilevel"/>
    <w:tmpl w:val="1FA2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531F"/>
    <w:multiLevelType w:val="hybridMultilevel"/>
    <w:tmpl w:val="20525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2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024CF"/>
    <w:multiLevelType w:val="multilevel"/>
    <w:tmpl w:val="B7A6CF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5030904">
    <w:abstractNumId w:val="4"/>
  </w:num>
  <w:num w:numId="2" w16cid:durableId="561989930">
    <w:abstractNumId w:val="5"/>
  </w:num>
  <w:num w:numId="3" w16cid:durableId="1069503239">
    <w:abstractNumId w:val="19"/>
  </w:num>
  <w:num w:numId="4" w16cid:durableId="195455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205447">
    <w:abstractNumId w:val="18"/>
  </w:num>
  <w:num w:numId="6" w16cid:durableId="56052537">
    <w:abstractNumId w:val="21"/>
  </w:num>
  <w:num w:numId="7" w16cid:durableId="85424144">
    <w:abstractNumId w:val="16"/>
  </w:num>
  <w:num w:numId="8" w16cid:durableId="627006121">
    <w:abstractNumId w:val="25"/>
  </w:num>
  <w:num w:numId="9" w16cid:durableId="1054619373">
    <w:abstractNumId w:val="9"/>
  </w:num>
  <w:num w:numId="10" w16cid:durableId="174852312">
    <w:abstractNumId w:val="10"/>
  </w:num>
  <w:num w:numId="11" w16cid:durableId="633876510">
    <w:abstractNumId w:val="6"/>
  </w:num>
  <w:num w:numId="12" w16cid:durableId="1134912626">
    <w:abstractNumId w:val="26"/>
  </w:num>
  <w:num w:numId="13" w16cid:durableId="1922593313">
    <w:abstractNumId w:val="24"/>
  </w:num>
  <w:num w:numId="14" w16cid:durableId="1165559051">
    <w:abstractNumId w:val="17"/>
  </w:num>
  <w:num w:numId="15" w16cid:durableId="1322385710">
    <w:abstractNumId w:val="7"/>
  </w:num>
  <w:num w:numId="16" w16cid:durableId="415441571">
    <w:abstractNumId w:val="27"/>
  </w:num>
  <w:num w:numId="17" w16cid:durableId="1243638786">
    <w:abstractNumId w:val="7"/>
  </w:num>
  <w:num w:numId="18" w16cid:durableId="1667437092">
    <w:abstractNumId w:val="8"/>
  </w:num>
  <w:num w:numId="19" w16cid:durableId="631442697">
    <w:abstractNumId w:val="3"/>
  </w:num>
  <w:num w:numId="20" w16cid:durableId="1111709499">
    <w:abstractNumId w:val="1"/>
  </w:num>
  <w:num w:numId="21" w16cid:durableId="1562861340">
    <w:abstractNumId w:val="14"/>
  </w:num>
  <w:num w:numId="22" w16cid:durableId="1916862827">
    <w:abstractNumId w:val="23"/>
  </w:num>
  <w:num w:numId="23" w16cid:durableId="1147746416">
    <w:abstractNumId w:val="11"/>
  </w:num>
  <w:num w:numId="24" w16cid:durableId="492449737">
    <w:abstractNumId w:val="15"/>
  </w:num>
  <w:num w:numId="25" w16cid:durableId="578104134">
    <w:abstractNumId w:val="0"/>
  </w:num>
  <w:num w:numId="26" w16cid:durableId="1134718134">
    <w:abstractNumId w:val="12"/>
  </w:num>
  <w:num w:numId="27" w16cid:durableId="527762430">
    <w:abstractNumId w:val="2"/>
  </w:num>
  <w:num w:numId="28" w16cid:durableId="1429349083">
    <w:abstractNumId w:val="2"/>
    <w:lvlOverride w:ilvl="0">
      <w:startOverride w:val="1"/>
    </w:lvlOverride>
  </w:num>
  <w:num w:numId="29" w16cid:durableId="319431805">
    <w:abstractNumId w:val="2"/>
  </w:num>
  <w:num w:numId="30" w16cid:durableId="1806389822">
    <w:abstractNumId w:val="2"/>
    <w:lvlOverride w:ilvl="0">
      <w:startOverride w:val="1"/>
    </w:lvlOverride>
  </w:num>
  <w:num w:numId="31" w16cid:durableId="1061058742">
    <w:abstractNumId w:val="2"/>
    <w:lvlOverride w:ilvl="0">
      <w:startOverride w:val="1"/>
    </w:lvlOverride>
  </w:num>
  <w:num w:numId="32" w16cid:durableId="477190367">
    <w:abstractNumId w:val="20"/>
  </w:num>
  <w:num w:numId="33" w16cid:durableId="1279608957">
    <w:abstractNumId w:val="22"/>
  </w:num>
  <w:num w:numId="34" w16cid:durableId="152529155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F2"/>
    <w:rsid w:val="00000403"/>
    <w:rsid w:val="0000169F"/>
    <w:rsid w:val="00001797"/>
    <w:rsid w:val="00001FEA"/>
    <w:rsid w:val="00003C71"/>
    <w:rsid w:val="00005009"/>
    <w:rsid w:val="00006504"/>
    <w:rsid w:val="0000664C"/>
    <w:rsid w:val="000067C3"/>
    <w:rsid w:val="00006BC8"/>
    <w:rsid w:val="000132F1"/>
    <w:rsid w:val="00013CFF"/>
    <w:rsid w:val="000145D6"/>
    <w:rsid w:val="00014D68"/>
    <w:rsid w:val="000150CB"/>
    <w:rsid w:val="000157C0"/>
    <w:rsid w:val="00016C00"/>
    <w:rsid w:val="00017730"/>
    <w:rsid w:val="00017DC6"/>
    <w:rsid w:val="000214FF"/>
    <w:rsid w:val="0002250C"/>
    <w:rsid w:val="00022AF0"/>
    <w:rsid w:val="00022BC4"/>
    <w:rsid w:val="0002320F"/>
    <w:rsid w:val="0002368C"/>
    <w:rsid w:val="000266C6"/>
    <w:rsid w:val="0003126E"/>
    <w:rsid w:val="00032D60"/>
    <w:rsid w:val="00034A40"/>
    <w:rsid w:val="000356CA"/>
    <w:rsid w:val="00043964"/>
    <w:rsid w:val="00044742"/>
    <w:rsid w:val="00050168"/>
    <w:rsid w:val="00053F9B"/>
    <w:rsid w:val="0005458E"/>
    <w:rsid w:val="000567FC"/>
    <w:rsid w:val="00057072"/>
    <w:rsid w:val="0005794A"/>
    <w:rsid w:val="00060015"/>
    <w:rsid w:val="000600B6"/>
    <w:rsid w:val="00061915"/>
    <w:rsid w:val="00064401"/>
    <w:rsid w:val="000652A5"/>
    <w:rsid w:val="0006701B"/>
    <w:rsid w:val="00067959"/>
    <w:rsid w:val="00071115"/>
    <w:rsid w:val="000714B7"/>
    <w:rsid w:val="00071D25"/>
    <w:rsid w:val="00071DDB"/>
    <w:rsid w:val="00071EB5"/>
    <w:rsid w:val="00073102"/>
    <w:rsid w:val="00073542"/>
    <w:rsid w:val="00073CBE"/>
    <w:rsid w:val="00074FA7"/>
    <w:rsid w:val="00076C4A"/>
    <w:rsid w:val="0007771C"/>
    <w:rsid w:val="00077A94"/>
    <w:rsid w:val="00077FA5"/>
    <w:rsid w:val="00080335"/>
    <w:rsid w:val="00080C63"/>
    <w:rsid w:val="000815A5"/>
    <w:rsid w:val="00082008"/>
    <w:rsid w:val="00085D7B"/>
    <w:rsid w:val="00091FB9"/>
    <w:rsid w:val="00095B93"/>
    <w:rsid w:val="000977D2"/>
    <w:rsid w:val="00097851"/>
    <w:rsid w:val="000A1337"/>
    <w:rsid w:val="000A51FF"/>
    <w:rsid w:val="000A58AB"/>
    <w:rsid w:val="000A5B72"/>
    <w:rsid w:val="000A5C6F"/>
    <w:rsid w:val="000A5F1F"/>
    <w:rsid w:val="000A7AE6"/>
    <w:rsid w:val="000B1842"/>
    <w:rsid w:val="000B5038"/>
    <w:rsid w:val="000C49CD"/>
    <w:rsid w:val="000C60E1"/>
    <w:rsid w:val="000C6628"/>
    <w:rsid w:val="000C6FA4"/>
    <w:rsid w:val="000C7115"/>
    <w:rsid w:val="000D034D"/>
    <w:rsid w:val="000D0868"/>
    <w:rsid w:val="000D09A7"/>
    <w:rsid w:val="000D1196"/>
    <w:rsid w:val="000D1BCE"/>
    <w:rsid w:val="000D3BCD"/>
    <w:rsid w:val="000D4663"/>
    <w:rsid w:val="000D7915"/>
    <w:rsid w:val="000E02BA"/>
    <w:rsid w:val="000E060F"/>
    <w:rsid w:val="000E0AAF"/>
    <w:rsid w:val="000E2614"/>
    <w:rsid w:val="000E561C"/>
    <w:rsid w:val="000E61DF"/>
    <w:rsid w:val="000E7691"/>
    <w:rsid w:val="000E7A47"/>
    <w:rsid w:val="000F027A"/>
    <w:rsid w:val="000F0678"/>
    <w:rsid w:val="000F2203"/>
    <w:rsid w:val="000F27F4"/>
    <w:rsid w:val="000F4E49"/>
    <w:rsid w:val="000F52EC"/>
    <w:rsid w:val="000F5379"/>
    <w:rsid w:val="000F5F9E"/>
    <w:rsid w:val="000F657A"/>
    <w:rsid w:val="00100906"/>
    <w:rsid w:val="00100B98"/>
    <w:rsid w:val="00101B24"/>
    <w:rsid w:val="00101B7F"/>
    <w:rsid w:val="001021EA"/>
    <w:rsid w:val="001028AD"/>
    <w:rsid w:val="001058E9"/>
    <w:rsid w:val="00105EAC"/>
    <w:rsid w:val="00106D87"/>
    <w:rsid w:val="001100B5"/>
    <w:rsid w:val="00110469"/>
    <w:rsid w:val="001120CB"/>
    <w:rsid w:val="001126BF"/>
    <w:rsid w:val="00112941"/>
    <w:rsid w:val="00112C81"/>
    <w:rsid w:val="001136C2"/>
    <w:rsid w:val="00113A8E"/>
    <w:rsid w:val="001162A3"/>
    <w:rsid w:val="00116927"/>
    <w:rsid w:val="00117ABF"/>
    <w:rsid w:val="0012096F"/>
    <w:rsid w:val="00121F1E"/>
    <w:rsid w:val="00122230"/>
    <w:rsid w:val="001252BF"/>
    <w:rsid w:val="001256CA"/>
    <w:rsid w:val="00125AE8"/>
    <w:rsid w:val="0012793A"/>
    <w:rsid w:val="00131115"/>
    <w:rsid w:val="001322E6"/>
    <w:rsid w:val="00132AB8"/>
    <w:rsid w:val="00134788"/>
    <w:rsid w:val="00134A56"/>
    <w:rsid w:val="00134B5C"/>
    <w:rsid w:val="00134E9C"/>
    <w:rsid w:val="00135A4F"/>
    <w:rsid w:val="00137B9E"/>
    <w:rsid w:val="00140988"/>
    <w:rsid w:val="001414D0"/>
    <w:rsid w:val="00141C50"/>
    <w:rsid w:val="00142963"/>
    <w:rsid w:val="00143043"/>
    <w:rsid w:val="00145A89"/>
    <w:rsid w:val="001467C3"/>
    <w:rsid w:val="00146DCF"/>
    <w:rsid w:val="00152A43"/>
    <w:rsid w:val="00157571"/>
    <w:rsid w:val="00160DF5"/>
    <w:rsid w:val="0016328F"/>
    <w:rsid w:val="00165BE4"/>
    <w:rsid w:val="001668F6"/>
    <w:rsid w:val="001708F4"/>
    <w:rsid w:val="00172823"/>
    <w:rsid w:val="00172B73"/>
    <w:rsid w:val="001746F2"/>
    <w:rsid w:val="00174F2E"/>
    <w:rsid w:val="0017512E"/>
    <w:rsid w:val="001751A2"/>
    <w:rsid w:val="00175C5B"/>
    <w:rsid w:val="00177216"/>
    <w:rsid w:val="001813AC"/>
    <w:rsid w:val="0018174B"/>
    <w:rsid w:val="001823E5"/>
    <w:rsid w:val="00184157"/>
    <w:rsid w:val="00184F36"/>
    <w:rsid w:val="00184F52"/>
    <w:rsid w:val="00187ED3"/>
    <w:rsid w:val="00191404"/>
    <w:rsid w:val="001914CB"/>
    <w:rsid w:val="00193069"/>
    <w:rsid w:val="001937C5"/>
    <w:rsid w:val="001952B0"/>
    <w:rsid w:val="001A2DF0"/>
    <w:rsid w:val="001A3DA0"/>
    <w:rsid w:val="001A48D0"/>
    <w:rsid w:val="001A4B98"/>
    <w:rsid w:val="001A788A"/>
    <w:rsid w:val="001B11CF"/>
    <w:rsid w:val="001B15DB"/>
    <w:rsid w:val="001B5F60"/>
    <w:rsid w:val="001C06E8"/>
    <w:rsid w:val="001C1A69"/>
    <w:rsid w:val="001C1D1B"/>
    <w:rsid w:val="001C1DAD"/>
    <w:rsid w:val="001C2F19"/>
    <w:rsid w:val="001C3D7C"/>
    <w:rsid w:val="001C4C24"/>
    <w:rsid w:val="001C508A"/>
    <w:rsid w:val="001C51DA"/>
    <w:rsid w:val="001C666F"/>
    <w:rsid w:val="001D16BD"/>
    <w:rsid w:val="001D1D86"/>
    <w:rsid w:val="001D1E2C"/>
    <w:rsid w:val="001D22EE"/>
    <w:rsid w:val="001D519C"/>
    <w:rsid w:val="001D529D"/>
    <w:rsid w:val="001D6E98"/>
    <w:rsid w:val="001E04CE"/>
    <w:rsid w:val="001E1E57"/>
    <w:rsid w:val="001E5124"/>
    <w:rsid w:val="001F04CC"/>
    <w:rsid w:val="001F166D"/>
    <w:rsid w:val="001F29B9"/>
    <w:rsid w:val="001F39FB"/>
    <w:rsid w:val="001F4F5B"/>
    <w:rsid w:val="001F5274"/>
    <w:rsid w:val="001F62E1"/>
    <w:rsid w:val="001F76D9"/>
    <w:rsid w:val="002000C9"/>
    <w:rsid w:val="0020031F"/>
    <w:rsid w:val="002022E0"/>
    <w:rsid w:val="00202B13"/>
    <w:rsid w:val="002053C8"/>
    <w:rsid w:val="00205A97"/>
    <w:rsid w:val="002064BF"/>
    <w:rsid w:val="00206943"/>
    <w:rsid w:val="00211553"/>
    <w:rsid w:val="00216408"/>
    <w:rsid w:val="00216D0E"/>
    <w:rsid w:val="00217C77"/>
    <w:rsid w:val="00220379"/>
    <w:rsid w:val="002212D8"/>
    <w:rsid w:val="0022253C"/>
    <w:rsid w:val="002229E6"/>
    <w:rsid w:val="00222DAE"/>
    <w:rsid w:val="00224728"/>
    <w:rsid w:val="00226026"/>
    <w:rsid w:val="00226C38"/>
    <w:rsid w:val="00230426"/>
    <w:rsid w:val="00231C5C"/>
    <w:rsid w:val="002322AE"/>
    <w:rsid w:val="00232BB4"/>
    <w:rsid w:val="00233DC0"/>
    <w:rsid w:val="00233E8D"/>
    <w:rsid w:val="0023478D"/>
    <w:rsid w:val="00234E59"/>
    <w:rsid w:val="002352BB"/>
    <w:rsid w:val="00235C9B"/>
    <w:rsid w:val="002360AD"/>
    <w:rsid w:val="002378B9"/>
    <w:rsid w:val="00237F9C"/>
    <w:rsid w:val="00240C0D"/>
    <w:rsid w:val="00241FB7"/>
    <w:rsid w:val="00243198"/>
    <w:rsid w:val="00245785"/>
    <w:rsid w:val="002461D9"/>
    <w:rsid w:val="0024631B"/>
    <w:rsid w:val="002468B0"/>
    <w:rsid w:val="00246DF3"/>
    <w:rsid w:val="002512FC"/>
    <w:rsid w:val="0025427C"/>
    <w:rsid w:val="00254E37"/>
    <w:rsid w:val="002560E8"/>
    <w:rsid w:val="002563CC"/>
    <w:rsid w:val="0025642B"/>
    <w:rsid w:val="00256CAD"/>
    <w:rsid w:val="00257843"/>
    <w:rsid w:val="0026012E"/>
    <w:rsid w:val="002610F2"/>
    <w:rsid w:val="0026167C"/>
    <w:rsid w:val="0026291C"/>
    <w:rsid w:val="00265A0A"/>
    <w:rsid w:val="002661C6"/>
    <w:rsid w:val="002673CE"/>
    <w:rsid w:val="00270A97"/>
    <w:rsid w:val="00271046"/>
    <w:rsid w:val="00271D36"/>
    <w:rsid w:val="002721B6"/>
    <w:rsid w:val="002727D2"/>
    <w:rsid w:val="00276C49"/>
    <w:rsid w:val="00277A8E"/>
    <w:rsid w:val="002805EF"/>
    <w:rsid w:val="002806B2"/>
    <w:rsid w:val="0028221D"/>
    <w:rsid w:val="00282570"/>
    <w:rsid w:val="002827AF"/>
    <w:rsid w:val="00282BE8"/>
    <w:rsid w:val="00282DBF"/>
    <w:rsid w:val="00282DE0"/>
    <w:rsid w:val="00282FE0"/>
    <w:rsid w:val="0028413D"/>
    <w:rsid w:val="002845AD"/>
    <w:rsid w:val="00285FC2"/>
    <w:rsid w:val="00292456"/>
    <w:rsid w:val="0029397A"/>
    <w:rsid w:val="00295521"/>
    <w:rsid w:val="00296871"/>
    <w:rsid w:val="00296C2E"/>
    <w:rsid w:val="00296CC1"/>
    <w:rsid w:val="002A0381"/>
    <w:rsid w:val="002A0EED"/>
    <w:rsid w:val="002A2A08"/>
    <w:rsid w:val="002A374D"/>
    <w:rsid w:val="002A3D42"/>
    <w:rsid w:val="002A430A"/>
    <w:rsid w:val="002A5B9D"/>
    <w:rsid w:val="002A6600"/>
    <w:rsid w:val="002B0460"/>
    <w:rsid w:val="002B11FE"/>
    <w:rsid w:val="002B1324"/>
    <w:rsid w:val="002B2E4D"/>
    <w:rsid w:val="002B4BD2"/>
    <w:rsid w:val="002B6ED6"/>
    <w:rsid w:val="002B7E5F"/>
    <w:rsid w:val="002C09E0"/>
    <w:rsid w:val="002C1261"/>
    <w:rsid w:val="002C17CC"/>
    <w:rsid w:val="002C1ECF"/>
    <w:rsid w:val="002C2392"/>
    <w:rsid w:val="002C24C0"/>
    <w:rsid w:val="002C2BFD"/>
    <w:rsid w:val="002C32D5"/>
    <w:rsid w:val="002C5D82"/>
    <w:rsid w:val="002C7F94"/>
    <w:rsid w:val="002D00CE"/>
    <w:rsid w:val="002D2A7E"/>
    <w:rsid w:val="002D3BD7"/>
    <w:rsid w:val="002D593C"/>
    <w:rsid w:val="002D5AA4"/>
    <w:rsid w:val="002E3702"/>
    <w:rsid w:val="002E567D"/>
    <w:rsid w:val="002E5B85"/>
    <w:rsid w:val="002E6654"/>
    <w:rsid w:val="002F0E50"/>
    <w:rsid w:val="002F28B8"/>
    <w:rsid w:val="002F34B0"/>
    <w:rsid w:val="002F441A"/>
    <w:rsid w:val="002F504A"/>
    <w:rsid w:val="002F5B7E"/>
    <w:rsid w:val="002F60C7"/>
    <w:rsid w:val="002F6281"/>
    <w:rsid w:val="002F664C"/>
    <w:rsid w:val="002F783A"/>
    <w:rsid w:val="00300BFB"/>
    <w:rsid w:val="003031B6"/>
    <w:rsid w:val="00304FC5"/>
    <w:rsid w:val="003061AE"/>
    <w:rsid w:val="00307EE4"/>
    <w:rsid w:val="00311B09"/>
    <w:rsid w:val="00311EA7"/>
    <w:rsid w:val="00312A71"/>
    <w:rsid w:val="00314F46"/>
    <w:rsid w:val="00315C9F"/>
    <w:rsid w:val="00315D34"/>
    <w:rsid w:val="00317CC7"/>
    <w:rsid w:val="00320C41"/>
    <w:rsid w:val="00321342"/>
    <w:rsid w:val="00322236"/>
    <w:rsid w:val="00322445"/>
    <w:rsid w:val="0032545A"/>
    <w:rsid w:val="00325CEB"/>
    <w:rsid w:val="00327125"/>
    <w:rsid w:val="003302B5"/>
    <w:rsid w:val="00331085"/>
    <w:rsid w:val="00332219"/>
    <w:rsid w:val="00333649"/>
    <w:rsid w:val="0033474B"/>
    <w:rsid w:val="00334D8B"/>
    <w:rsid w:val="00336027"/>
    <w:rsid w:val="00336674"/>
    <w:rsid w:val="003367AA"/>
    <w:rsid w:val="00336CB7"/>
    <w:rsid w:val="00337033"/>
    <w:rsid w:val="003374B7"/>
    <w:rsid w:val="00337750"/>
    <w:rsid w:val="00337C12"/>
    <w:rsid w:val="0034337E"/>
    <w:rsid w:val="00343E32"/>
    <w:rsid w:val="00344F92"/>
    <w:rsid w:val="0034542D"/>
    <w:rsid w:val="0034740A"/>
    <w:rsid w:val="00347934"/>
    <w:rsid w:val="00354635"/>
    <w:rsid w:val="0035479E"/>
    <w:rsid w:val="003628CA"/>
    <w:rsid w:val="003658AF"/>
    <w:rsid w:val="00366B47"/>
    <w:rsid w:val="00366D0D"/>
    <w:rsid w:val="00371C5B"/>
    <w:rsid w:val="00373E40"/>
    <w:rsid w:val="0037544D"/>
    <w:rsid w:val="003776DF"/>
    <w:rsid w:val="00380D9E"/>
    <w:rsid w:val="00381F7C"/>
    <w:rsid w:val="003834F8"/>
    <w:rsid w:val="00385993"/>
    <w:rsid w:val="00386A10"/>
    <w:rsid w:val="003870C7"/>
    <w:rsid w:val="00387A88"/>
    <w:rsid w:val="003920C5"/>
    <w:rsid w:val="00392365"/>
    <w:rsid w:val="0039426D"/>
    <w:rsid w:val="00395332"/>
    <w:rsid w:val="00396278"/>
    <w:rsid w:val="003964C8"/>
    <w:rsid w:val="003971FD"/>
    <w:rsid w:val="003A1658"/>
    <w:rsid w:val="003A1A2D"/>
    <w:rsid w:val="003A215B"/>
    <w:rsid w:val="003A2B59"/>
    <w:rsid w:val="003A6DAC"/>
    <w:rsid w:val="003B1E13"/>
    <w:rsid w:val="003B3AD3"/>
    <w:rsid w:val="003B4201"/>
    <w:rsid w:val="003B4F9B"/>
    <w:rsid w:val="003B532F"/>
    <w:rsid w:val="003B5E5F"/>
    <w:rsid w:val="003B7414"/>
    <w:rsid w:val="003C0270"/>
    <w:rsid w:val="003C1DB8"/>
    <w:rsid w:val="003C1E5F"/>
    <w:rsid w:val="003C51F6"/>
    <w:rsid w:val="003C77DB"/>
    <w:rsid w:val="003C7FB8"/>
    <w:rsid w:val="003D1570"/>
    <w:rsid w:val="003D249D"/>
    <w:rsid w:val="003D3E0B"/>
    <w:rsid w:val="003D3EBB"/>
    <w:rsid w:val="003D4444"/>
    <w:rsid w:val="003D5EE2"/>
    <w:rsid w:val="003D65D2"/>
    <w:rsid w:val="003D6C3B"/>
    <w:rsid w:val="003D70D5"/>
    <w:rsid w:val="003D7286"/>
    <w:rsid w:val="003D75DF"/>
    <w:rsid w:val="003E0884"/>
    <w:rsid w:val="003E08B0"/>
    <w:rsid w:val="003E26CB"/>
    <w:rsid w:val="003E48C4"/>
    <w:rsid w:val="003E5D38"/>
    <w:rsid w:val="003E6C65"/>
    <w:rsid w:val="003F4BC6"/>
    <w:rsid w:val="003F5B16"/>
    <w:rsid w:val="003F68C5"/>
    <w:rsid w:val="003F6D97"/>
    <w:rsid w:val="003F7315"/>
    <w:rsid w:val="004002EB"/>
    <w:rsid w:val="00400D96"/>
    <w:rsid w:val="004014B0"/>
    <w:rsid w:val="00401DB2"/>
    <w:rsid w:val="00402609"/>
    <w:rsid w:val="0040353E"/>
    <w:rsid w:val="004042FF"/>
    <w:rsid w:val="00404660"/>
    <w:rsid w:val="004047F7"/>
    <w:rsid w:val="0040553E"/>
    <w:rsid w:val="00405932"/>
    <w:rsid w:val="004060A7"/>
    <w:rsid w:val="004060C0"/>
    <w:rsid w:val="004101CB"/>
    <w:rsid w:val="0041735D"/>
    <w:rsid w:val="00417F12"/>
    <w:rsid w:val="0042028F"/>
    <w:rsid w:val="0042086A"/>
    <w:rsid w:val="00420B8D"/>
    <w:rsid w:val="0042178E"/>
    <w:rsid w:val="0042338A"/>
    <w:rsid w:val="00423849"/>
    <w:rsid w:val="004242ED"/>
    <w:rsid w:val="00425419"/>
    <w:rsid w:val="00426173"/>
    <w:rsid w:val="004266AD"/>
    <w:rsid w:val="00427256"/>
    <w:rsid w:val="00427934"/>
    <w:rsid w:val="00430A16"/>
    <w:rsid w:val="00430C0E"/>
    <w:rsid w:val="00432564"/>
    <w:rsid w:val="0043282A"/>
    <w:rsid w:val="004333B1"/>
    <w:rsid w:val="00434F01"/>
    <w:rsid w:val="00437695"/>
    <w:rsid w:val="00443274"/>
    <w:rsid w:val="0044399B"/>
    <w:rsid w:val="00444B03"/>
    <w:rsid w:val="00445BDB"/>
    <w:rsid w:val="004470C7"/>
    <w:rsid w:val="00447758"/>
    <w:rsid w:val="00453EC2"/>
    <w:rsid w:val="0045477D"/>
    <w:rsid w:val="00455732"/>
    <w:rsid w:val="00457C1F"/>
    <w:rsid w:val="00461C09"/>
    <w:rsid w:val="00461D30"/>
    <w:rsid w:val="00463B0F"/>
    <w:rsid w:val="00465D62"/>
    <w:rsid w:val="00470886"/>
    <w:rsid w:val="00470FFA"/>
    <w:rsid w:val="0047170E"/>
    <w:rsid w:val="00471DE1"/>
    <w:rsid w:val="004731F2"/>
    <w:rsid w:val="004748C8"/>
    <w:rsid w:val="00475ADB"/>
    <w:rsid w:val="00475F5E"/>
    <w:rsid w:val="00477BF0"/>
    <w:rsid w:val="004816DA"/>
    <w:rsid w:val="00482392"/>
    <w:rsid w:val="00483078"/>
    <w:rsid w:val="0048334A"/>
    <w:rsid w:val="00486002"/>
    <w:rsid w:val="00487087"/>
    <w:rsid w:val="004904CA"/>
    <w:rsid w:val="004922EC"/>
    <w:rsid w:val="00492ACB"/>
    <w:rsid w:val="0049302A"/>
    <w:rsid w:val="00493B43"/>
    <w:rsid w:val="004940AE"/>
    <w:rsid w:val="00495C82"/>
    <w:rsid w:val="0049603B"/>
    <w:rsid w:val="00497F0F"/>
    <w:rsid w:val="004A1F4A"/>
    <w:rsid w:val="004A31BC"/>
    <w:rsid w:val="004A3FBD"/>
    <w:rsid w:val="004A563B"/>
    <w:rsid w:val="004A718C"/>
    <w:rsid w:val="004A7AB7"/>
    <w:rsid w:val="004B0F77"/>
    <w:rsid w:val="004B13E4"/>
    <w:rsid w:val="004B26C7"/>
    <w:rsid w:val="004B2798"/>
    <w:rsid w:val="004B2EB2"/>
    <w:rsid w:val="004B3E1C"/>
    <w:rsid w:val="004B6BB8"/>
    <w:rsid w:val="004B71C7"/>
    <w:rsid w:val="004C1496"/>
    <w:rsid w:val="004C2432"/>
    <w:rsid w:val="004C3290"/>
    <w:rsid w:val="004C386D"/>
    <w:rsid w:val="004C5A9B"/>
    <w:rsid w:val="004C65BA"/>
    <w:rsid w:val="004C6865"/>
    <w:rsid w:val="004C7238"/>
    <w:rsid w:val="004D1C9A"/>
    <w:rsid w:val="004D204A"/>
    <w:rsid w:val="004D292C"/>
    <w:rsid w:val="004D39A8"/>
    <w:rsid w:val="004D4236"/>
    <w:rsid w:val="004D5DAB"/>
    <w:rsid w:val="004D780D"/>
    <w:rsid w:val="004D7AFF"/>
    <w:rsid w:val="004D7FB9"/>
    <w:rsid w:val="004E0C77"/>
    <w:rsid w:val="004E3AB5"/>
    <w:rsid w:val="004E3B6E"/>
    <w:rsid w:val="004E6511"/>
    <w:rsid w:val="004F09B7"/>
    <w:rsid w:val="004F0AFC"/>
    <w:rsid w:val="004F1060"/>
    <w:rsid w:val="004F4494"/>
    <w:rsid w:val="004F570E"/>
    <w:rsid w:val="00500500"/>
    <w:rsid w:val="00500773"/>
    <w:rsid w:val="005017FB"/>
    <w:rsid w:val="00501938"/>
    <w:rsid w:val="0050232F"/>
    <w:rsid w:val="00502717"/>
    <w:rsid w:val="005027F3"/>
    <w:rsid w:val="00502D7E"/>
    <w:rsid w:val="00503C8B"/>
    <w:rsid w:val="005041D3"/>
    <w:rsid w:val="00504B73"/>
    <w:rsid w:val="00505DAF"/>
    <w:rsid w:val="00510017"/>
    <w:rsid w:val="00512A4F"/>
    <w:rsid w:val="005135D0"/>
    <w:rsid w:val="00514FD0"/>
    <w:rsid w:val="005167B1"/>
    <w:rsid w:val="00516D77"/>
    <w:rsid w:val="00517F91"/>
    <w:rsid w:val="005204E9"/>
    <w:rsid w:val="00520C8B"/>
    <w:rsid w:val="00521746"/>
    <w:rsid w:val="00521C86"/>
    <w:rsid w:val="00522492"/>
    <w:rsid w:val="005244A8"/>
    <w:rsid w:val="00524AC0"/>
    <w:rsid w:val="005254D9"/>
    <w:rsid w:val="005275EC"/>
    <w:rsid w:val="00531BB7"/>
    <w:rsid w:val="00531E29"/>
    <w:rsid w:val="005329AC"/>
    <w:rsid w:val="00533B70"/>
    <w:rsid w:val="00535438"/>
    <w:rsid w:val="005358DF"/>
    <w:rsid w:val="00536C6C"/>
    <w:rsid w:val="00537158"/>
    <w:rsid w:val="00537C84"/>
    <w:rsid w:val="005405CE"/>
    <w:rsid w:val="005407CA"/>
    <w:rsid w:val="005410F6"/>
    <w:rsid w:val="00541CA0"/>
    <w:rsid w:val="00543A21"/>
    <w:rsid w:val="005440DE"/>
    <w:rsid w:val="00545711"/>
    <w:rsid w:val="00546943"/>
    <w:rsid w:val="0055067A"/>
    <w:rsid w:val="00550958"/>
    <w:rsid w:val="0055147A"/>
    <w:rsid w:val="00551DDB"/>
    <w:rsid w:val="0055226A"/>
    <w:rsid w:val="0055248E"/>
    <w:rsid w:val="00552618"/>
    <w:rsid w:val="005540C2"/>
    <w:rsid w:val="00556719"/>
    <w:rsid w:val="0056438A"/>
    <w:rsid w:val="005650DE"/>
    <w:rsid w:val="00566343"/>
    <w:rsid w:val="005667B8"/>
    <w:rsid w:val="005679DA"/>
    <w:rsid w:val="005705C2"/>
    <w:rsid w:val="005714A6"/>
    <w:rsid w:val="005727D4"/>
    <w:rsid w:val="00572EB2"/>
    <w:rsid w:val="00573325"/>
    <w:rsid w:val="005745ED"/>
    <w:rsid w:val="005830C5"/>
    <w:rsid w:val="005836CE"/>
    <w:rsid w:val="00583D6B"/>
    <w:rsid w:val="00587FBA"/>
    <w:rsid w:val="0059123D"/>
    <w:rsid w:val="00593D7B"/>
    <w:rsid w:val="005949E3"/>
    <w:rsid w:val="005953F8"/>
    <w:rsid w:val="005959E3"/>
    <w:rsid w:val="00595AD4"/>
    <w:rsid w:val="00596B1A"/>
    <w:rsid w:val="00596FC8"/>
    <w:rsid w:val="005A3DB3"/>
    <w:rsid w:val="005A5FF1"/>
    <w:rsid w:val="005A6E79"/>
    <w:rsid w:val="005A725F"/>
    <w:rsid w:val="005B1B76"/>
    <w:rsid w:val="005B1E2C"/>
    <w:rsid w:val="005B284F"/>
    <w:rsid w:val="005B3E94"/>
    <w:rsid w:val="005B4197"/>
    <w:rsid w:val="005C09A7"/>
    <w:rsid w:val="005C0D44"/>
    <w:rsid w:val="005C3AFB"/>
    <w:rsid w:val="005C4A78"/>
    <w:rsid w:val="005C4A83"/>
    <w:rsid w:val="005C4AE5"/>
    <w:rsid w:val="005C594A"/>
    <w:rsid w:val="005C5A21"/>
    <w:rsid w:val="005C62CB"/>
    <w:rsid w:val="005C6472"/>
    <w:rsid w:val="005C664A"/>
    <w:rsid w:val="005C7B71"/>
    <w:rsid w:val="005D0A70"/>
    <w:rsid w:val="005D4D18"/>
    <w:rsid w:val="005D5F21"/>
    <w:rsid w:val="005D6061"/>
    <w:rsid w:val="005D66E9"/>
    <w:rsid w:val="005E190C"/>
    <w:rsid w:val="005E2D28"/>
    <w:rsid w:val="005E2E43"/>
    <w:rsid w:val="005E3AF4"/>
    <w:rsid w:val="005E491F"/>
    <w:rsid w:val="005E4E61"/>
    <w:rsid w:val="005E5960"/>
    <w:rsid w:val="005E5A35"/>
    <w:rsid w:val="005E60C6"/>
    <w:rsid w:val="005F13C0"/>
    <w:rsid w:val="005F327D"/>
    <w:rsid w:val="005F33B8"/>
    <w:rsid w:val="005F61AF"/>
    <w:rsid w:val="005F7C6B"/>
    <w:rsid w:val="00600A56"/>
    <w:rsid w:val="00601AF6"/>
    <w:rsid w:val="006026CD"/>
    <w:rsid w:val="00603E27"/>
    <w:rsid w:val="0060471F"/>
    <w:rsid w:val="00605250"/>
    <w:rsid w:val="0061099F"/>
    <w:rsid w:val="006125E8"/>
    <w:rsid w:val="0061264A"/>
    <w:rsid w:val="00613EB3"/>
    <w:rsid w:val="00617CA3"/>
    <w:rsid w:val="00621170"/>
    <w:rsid w:val="00621EA6"/>
    <w:rsid w:val="006224AD"/>
    <w:rsid w:val="00622F23"/>
    <w:rsid w:val="006230CC"/>
    <w:rsid w:val="00625902"/>
    <w:rsid w:val="006269E7"/>
    <w:rsid w:val="0062726D"/>
    <w:rsid w:val="00630FB2"/>
    <w:rsid w:val="00632A98"/>
    <w:rsid w:val="006335BA"/>
    <w:rsid w:val="00634C20"/>
    <w:rsid w:val="00635273"/>
    <w:rsid w:val="00635F28"/>
    <w:rsid w:val="00637360"/>
    <w:rsid w:val="0064024C"/>
    <w:rsid w:val="0064197F"/>
    <w:rsid w:val="00643247"/>
    <w:rsid w:val="00643A43"/>
    <w:rsid w:val="006445E3"/>
    <w:rsid w:val="00644B35"/>
    <w:rsid w:val="00645B05"/>
    <w:rsid w:val="00646677"/>
    <w:rsid w:val="00646CE9"/>
    <w:rsid w:val="00647202"/>
    <w:rsid w:val="0064770B"/>
    <w:rsid w:val="00647864"/>
    <w:rsid w:val="00650FD4"/>
    <w:rsid w:val="0065153B"/>
    <w:rsid w:val="006540D9"/>
    <w:rsid w:val="00657A8C"/>
    <w:rsid w:val="00660695"/>
    <w:rsid w:val="00662027"/>
    <w:rsid w:val="0066481A"/>
    <w:rsid w:val="006654E8"/>
    <w:rsid w:val="00665C2C"/>
    <w:rsid w:val="00672556"/>
    <w:rsid w:val="00673BA6"/>
    <w:rsid w:val="0067411C"/>
    <w:rsid w:val="00675B93"/>
    <w:rsid w:val="0068028F"/>
    <w:rsid w:val="0068156B"/>
    <w:rsid w:val="0068216B"/>
    <w:rsid w:val="00683342"/>
    <w:rsid w:val="00683404"/>
    <w:rsid w:val="0068358D"/>
    <w:rsid w:val="006849BB"/>
    <w:rsid w:val="00684EBD"/>
    <w:rsid w:val="006859A5"/>
    <w:rsid w:val="00687ED1"/>
    <w:rsid w:val="00690769"/>
    <w:rsid w:val="0069130F"/>
    <w:rsid w:val="006922DB"/>
    <w:rsid w:val="00692978"/>
    <w:rsid w:val="00692B51"/>
    <w:rsid w:val="00696957"/>
    <w:rsid w:val="006A0082"/>
    <w:rsid w:val="006A2562"/>
    <w:rsid w:val="006A3D11"/>
    <w:rsid w:val="006A4CD9"/>
    <w:rsid w:val="006A62ED"/>
    <w:rsid w:val="006A679B"/>
    <w:rsid w:val="006A6EEB"/>
    <w:rsid w:val="006A73E7"/>
    <w:rsid w:val="006A7774"/>
    <w:rsid w:val="006B20B7"/>
    <w:rsid w:val="006B313D"/>
    <w:rsid w:val="006B32F5"/>
    <w:rsid w:val="006B4B1F"/>
    <w:rsid w:val="006B5C43"/>
    <w:rsid w:val="006B66A6"/>
    <w:rsid w:val="006C0711"/>
    <w:rsid w:val="006C19EA"/>
    <w:rsid w:val="006C3F09"/>
    <w:rsid w:val="006C3FF8"/>
    <w:rsid w:val="006C7044"/>
    <w:rsid w:val="006C7354"/>
    <w:rsid w:val="006D170F"/>
    <w:rsid w:val="006D1C89"/>
    <w:rsid w:val="006D3EF9"/>
    <w:rsid w:val="006D500F"/>
    <w:rsid w:val="006D5EFB"/>
    <w:rsid w:val="006D6006"/>
    <w:rsid w:val="006D7585"/>
    <w:rsid w:val="006E1E3D"/>
    <w:rsid w:val="006E25B0"/>
    <w:rsid w:val="006E30CC"/>
    <w:rsid w:val="006E51A8"/>
    <w:rsid w:val="006E535C"/>
    <w:rsid w:val="006E6DF4"/>
    <w:rsid w:val="006E7EFA"/>
    <w:rsid w:val="006F1D9D"/>
    <w:rsid w:val="006F2B58"/>
    <w:rsid w:val="006F3428"/>
    <w:rsid w:val="006F3471"/>
    <w:rsid w:val="006F3CC9"/>
    <w:rsid w:val="006F4256"/>
    <w:rsid w:val="006F5320"/>
    <w:rsid w:val="006F6D97"/>
    <w:rsid w:val="0070010A"/>
    <w:rsid w:val="00700BCE"/>
    <w:rsid w:val="007017A4"/>
    <w:rsid w:val="00702CEE"/>
    <w:rsid w:val="00703CDE"/>
    <w:rsid w:val="00704033"/>
    <w:rsid w:val="0070417C"/>
    <w:rsid w:val="00704871"/>
    <w:rsid w:val="00704DDF"/>
    <w:rsid w:val="007053CC"/>
    <w:rsid w:val="007053EB"/>
    <w:rsid w:val="00705B83"/>
    <w:rsid w:val="007061F0"/>
    <w:rsid w:val="00706E1A"/>
    <w:rsid w:val="00710A70"/>
    <w:rsid w:val="00710C97"/>
    <w:rsid w:val="00711C0B"/>
    <w:rsid w:val="00711FB6"/>
    <w:rsid w:val="00712224"/>
    <w:rsid w:val="007143A8"/>
    <w:rsid w:val="00715EC0"/>
    <w:rsid w:val="00716E08"/>
    <w:rsid w:val="00717581"/>
    <w:rsid w:val="00717FD5"/>
    <w:rsid w:val="007203FE"/>
    <w:rsid w:val="007208F1"/>
    <w:rsid w:val="007211CE"/>
    <w:rsid w:val="00722261"/>
    <w:rsid w:val="00722F46"/>
    <w:rsid w:val="00726D02"/>
    <w:rsid w:val="00727D76"/>
    <w:rsid w:val="007302AA"/>
    <w:rsid w:val="00730522"/>
    <w:rsid w:val="007326BA"/>
    <w:rsid w:val="00732E8F"/>
    <w:rsid w:val="00733CF2"/>
    <w:rsid w:val="00733EAC"/>
    <w:rsid w:val="0073413D"/>
    <w:rsid w:val="00735AF6"/>
    <w:rsid w:val="00735E61"/>
    <w:rsid w:val="0074084F"/>
    <w:rsid w:val="0074500E"/>
    <w:rsid w:val="00745DAE"/>
    <w:rsid w:val="00747E6D"/>
    <w:rsid w:val="00750E14"/>
    <w:rsid w:val="00753B3F"/>
    <w:rsid w:val="00754E8E"/>
    <w:rsid w:val="00755A88"/>
    <w:rsid w:val="00755B66"/>
    <w:rsid w:val="00757BA1"/>
    <w:rsid w:val="00761AD5"/>
    <w:rsid w:val="00763094"/>
    <w:rsid w:val="007633AC"/>
    <w:rsid w:val="00764938"/>
    <w:rsid w:val="007667F1"/>
    <w:rsid w:val="0077004D"/>
    <w:rsid w:val="007704BE"/>
    <w:rsid w:val="0077337B"/>
    <w:rsid w:val="00774E53"/>
    <w:rsid w:val="0078029B"/>
    <w:rsid w:val="00780C58"/>
    <w:rsid w:val="00780E91"/>
    <w:rsid w:val="007826C5"/>
    <w:rsid w:val="00782DC4"/>
    <w:rsid w:val="00783AAB"/>
    <w:rsid w:val="00783E31"/>
    <w:rsid w:val="00785A8E"/>
    <w:rsid w:val="00785C42"/>
    <w:rsid w:val="00785C94"/>
    <w:rsid w:val="00786278"/>
    <w:rsid w:val="007862AA"/>
    <w:rsid w:val="007865C7"/>
    <w:rsid w:val="00786B57"/>
    <w:rsid w:val="00787EE0"/>
    <w:rsid w:val="00790249"/>
    <w:rsid w:val="00790808"/>
    <w:rsid w:val="007915C9"/>
    <w:rsid w:val="00791990"/>
    <w:rsid w:val="00791BDC"/>
    <w:rsid w:val="00794309"/>
    <w:rsid w:val="007965B3"/>
    <w:rsid w:val="0079687C"/>
    <w:rsid w:val="0079713F"/>
    <w:rsid w:val="007A3649"/>
    <w:rsid w:val="007A37FC"/>
    <w:rsid w:val="007A508C"/>
    <w:rsid w:val="007A5965"/>
    <w:rsid w:val="007A5FED"/>
    <w:rsid w:val="007A7677"/>
    <w:rsid w:val="007A7E7B"/>
    <w:rsid w:val="007B0DD3"/>
    <w:rsid w:val="007B2489"/>
    <w:rsid w:val="007B3D27"/>
    <w:rsid w:val="007B45C2"/>
    <w:rsid w:val="007B5AFD"/>
    <w:rsid w:val="007B5DFD"/>
    <w:rsid w:val="007B6C36"/>
    <w:rsid w:val="007C0BE7"/>
    <w:rsid w:val="007C1F1D"/>
    <w:rsid w:val="007C2328"/>
    <w:rsid w:val="007C31FF"/>
    <w:rsid w:val="007C38CF"/>
    <w:rsid w:val="007C3F86"/>
    <w:rsid w:val="007C52B4"/>
    <w:rsid w:val="007D2156"/>
    <w:rsid w:val="007D3184"/>
    <w:rsid w:val="007D4828"/>
    <w:rsid w:val="007D5DE5"/>
    <w:rsid w:val="007D7307"/>
    <w:rsid w:val="007D73FD"/>
    <w:rsid w:val="007E20D5"/>
    <w:rsid w:val="007E2625"/>
    <w:rsid w:val="007E2FB1"/>
    <w:rsid w:val="007E301D"/>
    <w:rsid w:val="007E49C3"/>
    <w:rsid w:val="007E50BF"/>
    <w:rsid w:val="007E5743"/>
    <w:rsid w:val="007E683A"/>
    <w:rsid w:val="007E7252"/>
    <w:rsid w:val="007E7E9E"/>
    <w:rsid w:val="007F1626"/>
    <w:rsid w:val="007F2004"/>
    <w:rsid w:val="007F2D7F"/>
    <w:rsid w:val="007F3124"/>
    <w:rsid w:val="007F3D03"/>
    <w:rsid w:val="007F5327"/>
    <w:rsid w:val="007F6A3B"/>
    <w:rsid w:val="007F725F"/>
    <w:rsid w:val="008006CE"/>
    <w:rsid w:val="00800D54"/>
    <w:rsid w:val="00801A59"/>
    <w:rsid w:val="00802061"/>
    <w:rsid w:val="008020F7"/>
    <w:rsid w:val="00802288"/>
    <w:rsid w:val="008033F0"/>
    <w:rsid w:val="008036C1"/>
    <w:rsid w:val="00803A96"/>
    <w:rsid w:val="00810C04"/>
    <w:rsid w:val="0081236C"/>
    <w:rsid w:val="00813C6F"/>
    <w:rsid w:val="00814300"/>
    <w:rsid w:val="00815D62"/>
    <w:rsid w:val="00815F40"/>
    <w:rsid w:val="00816085"/>
    <w:rsid w:val="008160AD"/>
    <w:rsid w:val="00816423"/>
    <w:rsid w:val="00817609"/>
    <w:rsid w:val="008200DB"/>
    <w:rsid w:val="00820B85"/>
    <w:rsid w:val="00822824"/>
    <w:rsid w:val="00822D79"/>
    <w:rsid w:val="0082375E"/>
    <w:rsid w:val="00823B77"/>
    <w:rsid w:val="00824EAC"/>
    <w:rsid w:val="00826A48"/>
    <w:rsid w:val="00827229"/>
    <w:rsid w:val="008274AE"/>
    <w:rsid w:val="00827624"/>
    <w:rsid w:val="00827B77"/>
    <w:rsid w:val="00827C0E"/>
    <w:rsid w:val="00830CC9"/>
    <w:rsid w:val="00833197"/>
    <w:rsid w:val="00833655"/>
    <w:rsid w:val="008350FF"/>
    <w:rsid w:val="00837864"/>
    <w:rsid w:val="00841240"/>
    <w:rsid w:val="00843711"/>
    <w:rsid w:val="00843C51"/>
    <w:rsid w:val="008442DE"/>
    <w:rsid w:val="008444C2"/>
    <w:rsid w:val="00844A7B"/>
    <w:rsid w:val="008515E2"/>
    <w:rsid w:val="00853DD1"/>
    <w:rsid w:val="00853FA0"/>
    <w:rsid w:val="0085473E"/>
    <w:rsid w:val="00855924"/>
    <w:rsid w:val="008568B7"/>
    <w:rsid w:val="008575B2"/>
    <w:rsid w:val="00857823"/>
    <w:rsid w:val="00860639"/>
    <w:rsid w:val="00861C64"/>
    <w:rsid w:val="008620C2"/>
    <w:rsid w:val="00862A13"/>
    <w:rsid w:val="00862DB2"/>
    <w:rsid w:val="0086339C"/>
    <w:rsid w:val="0087005C"/>
    <w:rsid w:val="008701C3"/>
    <w:rsid w:val="0087039C"/>
    <w:rsid w:val="00870AA1"/>
    <w:rsid w:val="00871BF2"/>
    <w:rsid w:val="008720DE"/>
    <w:rsid w:val="008731E5"/>
    <w:rsid w:val="008733D3"/>
    <w:rsid w:val="008740B4"/>
    <w:rsid w:val="0087622A"/>
    <w:rsid w:val="00876C1A"/>
    <w:rsid w:val="0087713F"/>
    <w:rsid w:val="00877A26"/>
    <w:rsid w:val="00877AE2"/>
    <w:rsid w:val="00881C7A"/>
    <w:rsid w:val="00886280"/>
    <w:rsid w:val="008862B4"/>
    <w:rsid w:val="00886A97"/>
    <w:rsid w:val="00887422"/>
    <w:rsid w:val="008879F0"/>
    <w:rsid w:val="00890169"/>
    <w:rsid w:val="008906A8"/>
    <w:rsid w:val="00892B27"/>
    <w:rsid w:val="00894D9E"/>
    <w:rsid w:val="008955D0"/>
    <w:rsid w:val="008964DB"/>
    <w:rsid w:val="008A0857"/>
    <w:rsid w:val="008A3C2F"/>
    <w:rsid w:val="008A47EF"/>
    <w:rsid w:val="008A50F7"/>
    <w:rsid w:val="008A5123"/>
    <w:rsid w:val="008A5D8F"/>
    <w:rsid w:val="008A5F83"/>
    <w:rsid w:val="008A6144"/>
    <w:rsid w:val="008A79B0"/>
    <w:rsid w:val="008B062C"/>
    <w:rsid w:val="008B0BBD"/>
    <w:rsid w:val="008B14B0"/>
    <w:rsid w:val="008B1DC1"/>
    <w:rsid w:val="008B3A02"/>
    <w:rsid w:val="008B4617"/>
    <w:rsid w:val="008B4974"/>
    <w:rsid w:val="008B54E3"/>
    <w:rsid w:val="008B56F9"/>
    <w:rsid w:val="008C02C3"/>
    <w:rsid w:val="008C050F"/>
    <w:rsid w:val="008C09F6"/>
    <w:rsid w:val="008C3A6F"/>
    <w:rsid w:val="008C5638"/>
    <w:rsid w:val="008C7741"/>
    <w:rsid w:val="008C77C2"/>
    <w:rsid w:val="008D1A88"/>
    <w:rsid w:val="008D1B0C"/>
    <w:rsid w:val="008D1E6D"/>
    <w:rsid w:val="008D49AA"/>
    <w:rsid w:val="008D6976"/>
    <w:rsid w:val="008D6F53"/>
    <w:rsid w:val="008D7FFE"/>
    <w:rsid w:val="008E286A"/>
    <w:rsid w:val="008E3E52"/>
    <w:rsid w:val="008E5FBC"/>
    <w:rsid w:val="008E6DD5"/>
    <w:rsid w:val="008E7DFB"/>
    <w:rsid w:val="008F20A1"/>
    <w:rsid w:val="008F3DC2"/>
    <w:rsid w:val="008F4519"/>
    <w:rsid w:val="008F515D"/>
    <w:rsid w:val="008F6135"/>
    <w:rsid w:val="008F7DA3"/>
    <w:rsid w:val="0090034B"/>
    <w:rsid w:val="00900890"/>
    <w:rsid w:val="00900926"/>
    <w:rsid w:val="00902020"/>
    <w:rsid w:val="00902463"/>
    <w:rsid w:val="0090434C"/>
    <w:rsid w:val="00904855"/>
    <w:rsid w:val="00905245"/>
    <w:rsid w:val="009052AB"/>
    <w:rsid w:val="00910BC0"/>
    <w:rsid w:val="00913DF9"/>
    <w:rsid w:val="00914BBB"/>
    <w:rsid w:val="00914EA3"/>
    <w:rsid w:val="009154C2"/>
    <w:rsid w:val="00915665"/>
    <w:rsid w:val="00916DFD"/>
    <w:rsid w:val="00924BF4"/>
    <w:rsid w:val="00926B89"/>
    <w:rsid w:val="00926DAC"/>
    <w:rsid w:val="00930980"/>
    <w:rsid w:val="0093190D"/>
    <w:rsid w:val="009325C3"/>
    <w:rsid w:val="00932B47"/>
    <w:rsid w:val="00935B0F"/>
    <w:rsid w:val="0093681D"/>
    <w:rsid w:val="00937753"/>
    <w:rsid w:val="00940709"/>
    <w:rsid w:val="009417FF"/>
    <w:rsid w:val="0094310B"/>
    <w:rsid w:val="0094366A"/>
    <w:rsid w:val="00943752"/>
    <w:rsid w:val="0094461A"/>
    <w:rsid w:val="009446AB"/>
    <w:rsid w:val="00946CE2"/>
    <w:rsid w:val="0095008C"/>
    <w:rsid w:val="0095037E"/>
    <w:rsid w:val="0095297A"/>
    <w:rsid w:val="009539A6"/>
    <w:rsid w:val="00954511"/>
    <w:rsid w:val="009561B7"/>
    <w:rsid w:val="009566AE"/>
    <w:rsid w:val="00957B28"/>
    <w:rsid w:val="009604B3"/>
    <w:rsid w:val="00961342"/>
    <w:rsid w:val="00961EB5"/>
    <w:rsid w:val="009620AD"/>
    <w:rsid w:val="0096602A"/>
    <w:rsid w:val="0096681B"/>
    <w:rsid w:val="009675C2"/>
    <w:rsid w:val="00967F8C"/>
    <w:rsid w:val="0097164E"/>
    <w:rsid w:val="00971699"/>
    <w:rsid w:val="00971D2A"/>
    <w:rsid w:val="00972A4D"/>
    <w:rsid w:val="00973167"/>
    <w:rsid w:val="00973FAC"/>
    <w:rsid w:val="00974079"/>
    <w:rsid w:val="00975766"/>
    <w:rsid w:val="00975DB6"/>
    <w:rsid w:val="009803D7"/>
    <w:rsid w:val="00980459"/>
    <w:rsid w:val="00984233"/>
    <w:rsid w:val="00985B13"/>
    <w:rsid w:val="00987D5C"/>
    <w:rsid w:val="0099026A"/>
    <w:rsid w:val="009934BF"/>
    <w:rsid w:val="00993C65"/>
    <w:rsid w:val="00994E19"/>
    <w:rsid w:val="00995697"/>
    <w:rsid w:val="0099659F"/>
    <w:rsid w:val="009A00DC"/>
    <w:rsid w:val="009A0387"/>
    <w:rsid w:val="009A051E"/>
    <w:rsid w:val="009A1EF8"/>
    <w:rsid w:val="009A3534"/>
    <w:rsid w:val="009A3544"/>
    <w:rsid w:val="009A3EF0"/>
    <w:rsid w:val="009A72E8"/>
    <w:rsid w:val="009B10B6"/>
    <w:rsid w:val="009B1197"/>
    <w:rsid w:val="009B28F2"/>
    <w:rsid w:val="009B31CF"/>
    <w:rsid w:val="009B40B3"/>
    <w:rsid w:val="009C141A"/>
    <w:rsid w:val="009C18C0"/>
    <w:rsid w:val="009C4060"/>
    <w:rsid w:val="009C5119"/>
    <w:rsid w:val="009D0D38"/>
    <w:rsid w:val="009D20DE"/>
    <w:rsid w:val="009D2520"/>
    <w:rsid w:val="009D28D0"/>
    <w:rsid w:val="009D2C3A"/>
    <w:rsid w:val="009D3AA9"/>
    <w:rsid w:val="009D46DE"/>
    <w:rsid w:val="009D55A0"/>
    <w:rsid w:val="009D55F6"/>
    <w:rsid w:val="009D5605"/>
    <w:rsid w:val="009D5DDE"/>
    <w:rsid w:val="009D62B5"/>
    <w:rsid w:val="009D658D"/>
    <w:rsid w:val="009D68B6"/>
    <w:rsid w:val="009E0E17"/>
    <w:rsid w:val="009E35D1"/>
    <w:rsid w:val="009E384E"/>
    <w:rsid w:val="009E7B75"/>
    <w:rsid w:val="009F0722"/>
    <w:rsid w:val="00A00DC0"/>
    <w:rsid w:val="00A02871"/>
    <w:rsid w:val="00A03A15"/>
    <w:rsid w:val="00A05C19"/>
    <w:rsid w:val="00A10996"/>
    <w:rsid w:val="00A110A5"/>
    <w:rsid w:val="00A123C5"/>
    <w:rsid w:val="00A129F2"/>
    <w:rsid w:val="00A13F0B"/>
    <w:rsid w:val="00A141AD"/>
    <w:rsid w:val="00A14622"/>
    <w:rsid w:val="00A15AB4"/>
    <w:rsid w:val="00A230EB"/>
    <w:rsid w:val="00A24C9D"/>
    <w:rsid w:val="00A25D80"/>
    <w:rsid w:val="00A25F3D"/>
    <w:rsid w:val="00A2620B"/>
    <w:rsid w:val="00A264CB"/>
    <w:rsid w:val="00A26577"/>
    <w:rsid w:val="00A26F2B"/>
    <w:rsid w:val="00A302FF"/>
    <w:rsid w:val="00A30757"/>
    <w:rsid w:val="00A3105C"/>
    <w:rsid w:val="00A32EDC"/>
    <w:rsid w:val="00A36768"/>
    <w:rsid w:val="00A3691A"/>
    <w:rsid w:val="00A37CE9"/>
    <w:rsid w:val="00A41201"/>
    <w:rsid w:val="00A44E8B"/>
    <w:rsid w:val="00A45FD0"/>
    <w:rsid w:val="00A46B00"/>
    <w:rsid w:val="00A51615"/>
    <w:rsid w:val="00A5182B"/>
    <w:rsid w:val="00A52914"/>
    <w:rsid w:val="00A55C53"/>
    <w:rsid w:val="00A56BA9"/>
    <w:rsid w:val="00A60CFB"/>
    <w:rsid w:val="00A60FE8"/>
    <w:rsid w:val="00A6152D"/>
    <w:rsid w:val="00A62868"/>
    <w:rsid w:val="00A63007"/>
    <w:rsid w:val="00A63106"/>
    <w:rsid w:val="00A64B70"/>
    <w:rsid w:val="00A65EE6"/>
    <w:rsid w:val="00A665E7"/>
    <w:rsid w:val="00A66AFB"/>
    <w:rsid w:val="00A67000"/>
    <w:rsid w:val="00A67B7B"/>
    <w:rsid w:val="00A7031E"/>
    <w:rsid w:val="00A706D8"/>
    <w:rsid w:val="00A71B9D"/>
    <w:rsid w:val="00A73B4C"/>
    <w:rsid w:val="00A740DC"/>
    <w:rsid w:val="00A74B8D"/>
    <w:rsid w:val="00A74F92"/>
    <w:rsid w:val="00A75342"/>
    <w:rsid w:val="00A801DA"/>
    <w:rsid w:val="00A80F83"/>
    <w:rsid w:val="00A81313"/>
    <w:rsid w:val="00A83BEE"/>
    <w:rsid w:val="00A8438E"/>
    <w:rsid w:val="00A85108"/>
    <w:rsid w:val="00A8651B"/>
    <w:rsid w:val="00A871A5"/>
    <w:rsid w:val="00A91554"/>
    <w:rsid w:val="00A92C5A"/>
    <w:rsid w:val="00A93BB7"/>
    <w:rsid w:val="00A9426C"/>
    <w:rsid w:val="00A949BF"/>
    <w:rsid w:val="00A94A71"/>
    <w:rsid w:val="00A94AFF"/>
    <w:rsid w:val="00A95A2D"/>
    <w:rsid w:val="00A963F5"/>
    <w:rsid w:val="00AA02F7"/>
    <w:rsid w:val="00AA0CBA"/>
    <w:rsid w:val="00AA0F66"/>
    <w:rsid w:val="00AA1369"/>
    <w:rsid w:val="00AA1564"/>
    <w:rsid w:val="00AA15BC"/>
    <w:rsid w:val="00AA1991"/>
    <w:rsid w:val="00AA3B10"/>
    <w:rsid w:val="00AA4593"/>
    <w:rsid w:val="00AA5CCC"/>
    <w:rsid w:val="00AA5FF8"/>
    <w:rsid w:val="00AA6E58"/>
    <w:rsid w:val="00AA76BF"/>
    <w:rsid w:val="00AB0696"/>
    <w:rsid w:val="00AB071E"/>
    <w:rsid w:val="00AB1585"/>
    <w:rsid w:val="00AB25F7"/>
    <w:rsid w:val="00AB2BD8"/>
    <w:rsid w:val="00AB3576"/>
    <w:rsid w:val="00AB4A53"/>
    <w:rsid w:val="00AB4AA7"/>
    <w:rsid w:val="00AB6073"/>
    <w:rsid w:val="00AB71B6"/>
    <w:rsid w:val="00AC2546"/>
    <w:rsid w:val="00AC2F1B"/>
    <w:rsid w:val="00AC500E"/>
    <w:rsid w:val="00AC5EAC"/>
    <w:rsid w:val="00AD0669"/>
    <w:rsid w:val="00AD15F5"/>
    <w:rsid w:val="00AD1B99"/>
    <w:rsid w:val="00AD1C1C"/>
    <w:rsid w:val="00AD21CC"/>
    <w:rsid w:val="00AD4BEC"/>
    <w:rsid w:val="00AD550E"/>
    <w:rsid w:val="00AD550F"/>
    <w:rsid w:val="00AD710D"/>
    <w:rsid w:val="00AE1BD0"/>
    <w:rsid w:val="00AE2478"/>
    <w:rsid w:val="00AE2A45"/>
    <w:rsid w:val="00AE30C0"/>
    <w:rsid w:val="00AE40DF"/>
    <w:rsid w:val="00AE51A2"/>
    <w:rsid w:val="00AE5973"/>
    <w:rsid w:val="00AE7257"/>
    <w:rsid w:val="00AF00C5"/>
    <w:rsid w:val="00AF114D"/>
    <w:rsid w:val="00AF2C0D"/>
    <w:rsid w:val="00AF4274"/>
    <w:rsid w:val="00AF5C99"/>
    <w:rsid w:val="00AF7006"/>
    <w:rsid w:val="00AF78D8"/>
    <w:rsid w:val="00AF7C7C"/>
    <w:rsid w:val="00B038AF"/>
    <w:rsid w:val="00B04185"/>
    <w:rsid w:val="00B0499D"/>
    <w:rsid w:val="00B0502A"/>
    <w:rsid w:val="00B07442"/>
    <w:rsid w:val="00B10E54"/>
    <w:rsid w:val="00B12566"/>
    <w:rsid w:val="00B22AF1"/>
    <w:rsid w:val="00B2448F"/>
    <w:rsid w:val="00B24D52"/>
    <w:rsid w:val="00B255D2"/>
    <w:rsid w:val="00B26F29"/>
    <w:rsid w:val="00B272E6"/>
    <w:rsid w:val="00B31F73"/>
    <w:rsid w:val="00B33314"/>
    <w:rsid w:val="00B33BE6"/>
    <w:rsid w:val="00B33BFF"/>
    <w:rsid w:val="00B367FB"/>
    <w:rsid w:val="00B436E9"/>
    <w:rsid w:val="00B43FB1"/>
    <w:rsid w:val="00B44880"/>
    <w:rsid w:val="00B44D97"/>
    <w:rsid w:val="00B47087"/>
    <w:rsid w:val="00B52081"/>
    <w:rsid w:val="00B522E9"/>
    <w:rsid w:val="00B53DBE"/>
    <w:rsid w:val="00B5542D"/>
    <w:rsid w:val="00B56C27"/>
    <w:rsid w:val="00B57D92"/>
    <w:rsid w:val="00B57E23"/>
    <w:rsid w:val="00B61085"/>
    <w:rsid w:val="00B623EF"/>
    <w:rsid w:val="00B62693"/>
    <w:rsid w:val="00B637BE"/>
    <w:rsid w:val="00B63F30"/>
    <w:rsid w:val="00B63F8F"/>
    <w:rsid w:val="00B64619"/>
    <w:rsid w:val="00B648A7"/>
    <w:rsid w:val="00B64E0F"/>
    <w:rsid w:val="00B65C25"/>
    <w:rsid w:val="00B665F2"/>
    <w:rsid w:val="00B66652"/>
    <w:rsid w:val="00B67F46"/>
    <w:rsid w:val="00B701FC"/>
    <w:rsid w:val="00B70B85"/>
    <w:rsid w:val="00B72F5C"/>
    <w:rsid w:val="00B74C83"/>
    <w:rsid w:val="00B75626"/>
    <w:rsid w:val="00B75932"/>
    <w:rsid w:val="00B77779"/>
    <w:rsid w:val="00B807C9"/>
    <w:rsid w:val="00B80C34"/>
    <w:rsid w:val="00B80EE1"/>
    <w:rsid w:val="00B82871"/>
    <w:rsid w:val="00B84F84"/>
    <w:rsid w:val="00B85EE6"/>
    <w:rsid w:val="00B86BDC"/>
    <w:rsid w:val="00B87FE8"/>
    <w:rsid w:val="00B90B9D"/>
    <w:rsid w:val="00B92C0B"/>
    <w:rsid w:val="00B93E9B"/>
    <w:rsid w:val="00B9594F"/>
    <w:rsid w:val="00B97136"/>
    <w:rsid w:val="00B973E9"/>
    <w:rsid w:val="00BA2918"/>
    <w:rsid w:val="00BA4C52"/>
    <w:rsid w:val="00BA52A8"/>
    <w:rsid w:val="00BA5922"/>
    <w:rsid w:val="00BA7114"/>
    <w:rsid w:val="00BB282B"/>
    <w:rsid w:val="00BB4007"/>
    <w:rsid w:val="00BB6654"/>
    <w:rsid w:val="00BC0044"/>
    <w:rsid w:val="00BC1E0F"/>
    <w:rsid w:val="00BC2477"/>
    <w:rsid w:val="00BC2D4E"/>
    <w:rsid w:val="00BC3EA1"/>
    <w:rsid w:val="00BC4BB9"/>
    <w:rsid w:val="00BC4F2E"/>
    <w:rsid w:val="00BC6D05"/>
    <w:rsid w:val="00BC7E93"/>
    <w:rsid w:val="00BD02F2"/>
    <w:rsid w:val="00BD2CC2"/>
    <w:rsid w:val="00BD2FD4"/>
    <w:rsid w:val="00BD3FF7"/>
    <w:rsid w:val="00BD466A"/>
    <w:rsid w:val="00BD48D4"/>
    <w:rsid w:val="00BD4CD9"/>
    <w:rsid w:val="00BD4E76"/>
    <w:rsid w:val="00BD5286"/>
    <w:rsid w:val="00BD5ED5"/>
    <w:rsid w:val="00BD62E5"/>
    <w:rsid w:val="00BD7C78"/>
    <w:rsid w:val="00BE1661"/>
    <w:rsid w:val="00BF00F5"/>
    <w:rsid w:val="00BF15B8"/>
    <w:rsid w:val="00BF19D8"/>
    <w:rsid w:val="00BF34B8"/>
    <w:rsid w:val="00BF43C5"/>
    <w:rsid w:val="00BF4601"/>
    <w:rsid w:val="00BF5034"/>
    <w:rsid w:val="00BF5431"/>
    <w:rsid w:val="00BF6509"/>
    <w:rsid w:val="00BF6E20"/>
    <w:rsid w:val="00BF79EB"/>
    <w:rsid w:val="00C01548"/>
    <w:rsid w:val="00C01C1E"/>
    <w:rsid w:val="00C02750"/>
    <w:rsid w:val="00C0471E"/>
    <w:rsid w:val="00C117DF"/>
    <w:rsid w:val="00C11AA1"/>
    <w:rsid w:val="00C11D34"/>
    <w:rsid w:val="00C12971"/>
    <w:rsid w:val="00C13F39"/>
    <w:rsid w:val="00C15F24"/>
    <w:rsid w:val="00C1631B"/>
    <w:rsid w:val="00C166F8"/>
    <w:rsid w:val="00C205EF"/>
    <w:rsid w:val="00C212E2"/>
    <w:rsid w:val="00C215F0"/>
    <w:rsid w:val="00C21BD9"/>
    <w:rsid w:val="00C21C80"/>
    <w:rsid w:val="00C22D41"/>
    <w:rsid w:val="00C22E93"/>
    <w:rsid w:val="00C23D5D"/>
    <w:rsid w:val="00C27D4D"/>
    <w:rsid w:val="00C31A10"/>
    <w:rsid w:val="00C32B89"/>
    <w:rsid w:val="00C360DB"/>
    <w:rsid w:val="00C37192"/>
    <w:rsid w:val="00C376E2"/>
    <w:rsid w:val="00C42F2F"/>
    <w:rsid w:val="00C438AD"/>
    <w:rsid w:val="00C45478"/>
    <w:rsid w:val="00C50961"/>
    <w:rsid w:val="00C5127E"/>
    <w:rsid w:val="00C52080"/>
    <w:rsid w:val="00C52F60"/>
    <w:rsid w:val="00C535D6"/>
    <w:rsid w:val="00C54542"/>
    <w:rsid w:val="00C55E50"/>
    <w:rsid w:val="00C56D71"/>
    <w:rsid w:val="00C571AE"/>
    <w:rsid w:val="00C5774A"/>
    <w:rsid w:val="00C604A2"/>
    <w:rsid w:val="00C60BD0"/>
    <w:rsid w:val="00C60D8B"/>
    <w:rsid w:val="00C6174B"/>
    <w:rsid w:val="00C6272B"/>
    <w:rsid w:val="00C64E6C"/>
    <w:rsid w:val="00C6590C"/>
    <w:rsid w:val="00C701D7"/>
    <w:rsid w:val="00C70535"/>
    <w:rsid w:val="00C7283D"/>
    <w:rsid w:val="00C72870"/>
    <w:rsid w:val="00C73B1E"/>
    <w:rsid w:val="00C73FA6"/>
    <w:rsid w:val="00C73FE7"/>
    <w:rsid w:val="00C75BD8"/>
    <w:rsid w:val="00C75E37"/>
    <w:rsid w:val="00C76747"/>
    <w:rsid w:val="00C7736C"/>
    <w:rsid w:val="00C7743C"/>
    <w:rsid w:val="00C77518"/>
    <w:rsid w:val="00C77C74"/>
    <w:rsid w:val="00C81A72"/>
    <w:rsid w:val="00C82453"/>
    <w:rsid w:val="00C8245D"/>
    <w:rsid w:val="00C847AE"/>
    <w:rsid w:val="00C867CF"/>
    <w:rsid w:val="00C915A3"/>
    <w:rsid w:val="00C919AC"/>
    <w:rsid w:val="00C91AFB"/>
    <w:rsid w:val="00C91CBE"/>
    <w:rsid w:val="00C9281E"/>
    <w:rsid w:val="00C95087"/>
    <w:rsid w:val="00C95DF7"/>
    <w:rsid w:val="00C969F1"/>
    <w:rsid w:val="00C96D1D"/>
    <w:rsid w:val="00C97366"/>
    <w:rsid w:val="00C97E9D"/>
    <w:rsid w:val="00CA010A"/>
    <w:rsid w:val="00CA111E"/>
    <w:rsid w:val="00CA1852"/>
    <w:rsid w:val="00CA29C3"/>
    <w:rsid w:val="00CA3179"/>
    <w:rsid w:val="00CA332A"/>
    <w:rsid w:val="00CA37D9"/>
    <w:rsid w:val="00CA4171"/>
    <w:rsid w:val="00CA462B"/>
    <w:rsid w:val="00CA64B6"/>
    <w:rsid w:val="00CA6AF0"/>
    <w:rsid w:val="00CB1380"/>
    <w:rsid w:val="00CB2946"/>
    <w:rsid w:val="00CB442A"/>
    <w:rsid w:val="00CB4746"/>
    <w:rsid w:val="00CB6507"/>
    <w:rsid w:val="00CB667E"/>
    <w:rsid w:val="00CB6B6E"/>
    <w:rsid w:val="00CC099F"/>
    <w:rsid w:val="00CC0CCA"/>
    <w:rsid w:val="00CC0D3E"/>
    <w:rsid w:val="00CC1BD0"/>
    <w:rsid w:val="00CC204F"/>
    <w:rsid w:val="00CC561D"/>
    <w:rsid w:val="00CC5693"/>
    <w:rsid w:val="00CC7783"/>
    <w:rsid w:val="00CD03F8"/>
    <w:rsid w:val="00CD0771"/>
    <w:rsid w:val="00CD10AD"/>
    <w:rsid w:val="00CD1D54"/>
    <w:rsid w:val="00CD29F9"/>
    <w:rsid w:val="00CD2AFE"/>
    <w:rsid w:val="00CD2CA1"/>
    <w:rsid w:val="00CD7527"/>
    <w:rsid w:val="00CE0B9E"/>
    <w:rsid w:val="00CE1A8F"/>
    <w:rsid w:val="00CE297D"/>
    <w:rsid w:val="00CE2AB5"/>
    <w:rsid w:val="00CE3F48"/>
    <w:rsid w:val="00CE6B52"/>
    <w:rsid w:val="00CE7511"/>
    <w:rsid w:val="00CE7644"/>
    <w:rsid w:val="00CF0EEE"/>
    <w:rsid w:val="00CF56ED"/>
    <w:rsid w:val="00CF6941"/>
    <w:rsid w:val="00CF723E"/>
    <w:rsid w:val="00D0057D"/>
    <w:rsid w:val="00D011DF"/>
    <w:rsid w:val="00D01C59"/>
    <w:rsid w:val="00D020D8"/>
    <w:rsid w:val="00D02785"/>
    <w:rsid w:val="00D03EC9"/>
    <w:rsid w:val="00D049B4"/>
    <w:rsid w:val="00D04AAF"/>
    <w:rsid w:val="00D058B2"/>
    <w:rsid w:val="00D100BD"/>
    <w:rsid w:val="00D1049B"/>
    <w:rsid w:val="00D10551"/>
    <w:rsid w:val="00D11D67"/>
    <w:rsid w:val="00D12130"/>
    <w:rsid w:val="00D142B0"/>
    <w:rsid w:val="00D144EB"/>
    <w:rsid w:val="00D16749"/>
    <w:rsid w:val="00D1783E"/>
    <w:rsid w:val="00D21DD6"/>
    <w:rsid w:val="00D226D3"/>
    <w:rsid w:val="00D24061"/>
    <w:rsid w:val="00D2478B"/>
    <w:rsid w:val="00D26AA8"/>
    <w:rsid w:val="00D26B18"/>
    <w:rsid w:val="00D31009"/>
    <w:rsid w:val="00D32ABE"/>
    <w:rsid w:val="00D35197"/>
    <w:rsid w:val="00D35408"/>
    <w:rsid w:val="00D37192"/>
    <w:rsid w:val="00D40B36"/>
    <w:rsid w:val="00D41E8C"/>
    <w:rsid w:val="00D44237"/>
    <w:rsid w:val="00D455B1"/>
    <w:rsid w:val="00D46846"/>
    <w:rsid w:val="00D477B1"/>
    <w:rsid w:val="00D478E8"/>
    <w:rsid w:val="00D50F80"/>
    <w:rsid w:val="00D52A72"/>
    <w:rsid w:val="00D54275"/>
    <w:rsid w:val="00D54B95"/>
    <w:rsid w:val="00D54D3F"/>
    <w:rsid w:val="00D558FD"/>
    <w:rsid w:val="00D56400"/>
    <w:rsid w:val="00D5657C"/>
    <w:rsid w:val="00D62B6F"/>
    <w:rsid w:val="00D63B8A"/>
    <w:rsid w:val="00D647E3"/>
    <w:rsid w:val="00D67FE1"/>
    <w:rsid w:val="00D728DD"/>
    <w:rsid w:val="00D739A8"/>
    <w:rsid w:val="00D75C69"/>
    <w:rsid w:val="00D77D30"/>
    <w:rsid w:val="00D829E4"/>
    <w:rsid w:val="00D835A0"/>
    <w:rsid w:val="00D843D1"/>
    <w:rsid w:val="00D84604"/>
    <w:rsid w:val="00D8477C"/>
    <w:rsid w:val="00D864BC"/>
    <w:rsid w:val="00D86D1E"/>
    <w:rsid w:val="00D92AFD"/>
    <w:rsid w:val="00D93A57"/>
    <w:rsid w:val="00D93EE0"/>
    <w:rsid w:val="00D94B86"/>
    <w:rsid w:val="00D952BF"/>
    <w:rsid w:val="00D9546A"/>
    <w:rsid w:val="00D97E57"/>
    <w:rsid w:val="00DA01CA"/>
    <w:rsid w:val="00DA3E3D"/>
    <w:rsid w:val="00DA3F6A"/>
    <w:rsid w:val="00DA4D72"/>
    <w:rsid w:val="00DA4F4C"/>
    <w:rsid w:val="00DA707A"/>
    <w:rsid w:val="00DB16CD"/>
    <w:rsid w:val="00DB2A3D"/>
    <w:rsid w:val="00DB3CCA"/>
    <w:rsid w:val="00DB7BB6"/>
    <w:rsid w:val="00DB7F86"/>
    <w:rsid w:val="00DC278B"/>
    <w:rsid w:val="00DC36AA"/>
    <w:rsid w:val="00DC4536"/>
    <w:rsid w:val="00DC4DA8"/>
    <w:rsid w:val="00DC56B8"/>
    <w:rsid w:val="00DC6F9B"/>
    <w:rsid w:val="00DC7636"/>
    <w:rsid w:val="00DC776B"/>
    <w:rsid w:val="00DD0728"/>
    <w:rsid w:val="00DD294D"/>
    <w:rsid w:val="00DD3C8D"/>
    <w:rsid w:val="00DD51CF"/>
    <w:rsid w:val="00DD5237"/>
    <w:rsid w:val="00DD5959"/>
    <w:rsid w:val="00DD6207"/>
    <w:rsid w:val="00DD644F"/>
    <w:rsid w:val="00DD77CF"/>
    <w:rsid w:val="00DE0645"/>
    <w:rsid w:val="00DE1EF8"/>
    <w:rsid w:val="00DE2F3F"/>
    <w:rsid w:val="00DE42FB"/>
    <w:rsid w:val="00DE4871"/>
    <w:rsid w:val="00DE4887"/>
    <w:rsid w:val="00DE53C9"/>
    <w:rsid w:val="00DE5E1C"/>
    <w:rsid w:val="00DE7582"/>
    <w:rsid w:val="00DE773E"/>
    <w:rsid w:val="00DE7A65"/>
    <w:rsid w:val="00DF1631"/>
    <w:rsid w:val="00DF35C8"/>
    <w:rsid w:val="00DF375F"/>
    <w:rsid w:val="00DF4AFF"/>
    <w:rsid w:val="00DF561E"/>
    <w:rsid w:val="00DF5B1E"/>
    <w:rsid w:val="00DF6D65"/>
    <w:rsid w:val="00E015D1"/>
    <w:rsid w:val="00E01648"/>
    <w:rsid w:val="00E0243C"/>
    <w:rsid w:val="00E02554"/>
    <w:rsid w:val="00E02F64"/>
    <w:rsid w:val="00E03935"/>
    <w:rsid w:val="00E04F93"/>
    <w:rsid w:val="00E05393"/>
    <w:rsid w:val="00E07B31"/>
    <w:rsid w:val="00E114B6"/>
    <w:rsid w:val="00E12D8A"/>
    <w:rsid w:val="00E13B51"/>
    <w:rsid w:val="00E150FE"/>
    <w:rsid w:val="00E16CFB"/>
    <w:rsid w:val="00E17967"/>
    <w:rsid w:val="00E214B4"/>
    <w:rsid w:val="00E2159F"/>
    <w:rsid w:val="00E22B1B"/>
    <w:rsid w:val="00E23CE2"/>
    <w:rsid w:val="00E249BB"/>
    <w:rsid w:val="00E24BF5"/>
    <w:rsid w:val="00E25082"/>
    <w:rsid w:val="00E258B7"/>
    <w:rsid w:val="00E3011A"/>
    <w:rsid w:val="00E33D8F"/>
    <w:rsid w:val="00E3424F"/>
    <w:rsid w:val="00E346F6"/>
    <w:rsid w:val="00E35ABC"/>
    <w:rsid w:val="00E36B7E"/>
    <w:rsid w:val="00E37202"/>
    <w:rsid w:val="00E37203"/>
    <w:rsid w:val="00E37E6F"/>
    <w:rsid w:val="00E4002E"/>
    <w:rsid w:val="00E405BB"/>
    <w:rsid w:val="00E405D5"/>
    <w:rsid w:val="00E407D8"/>
    <w:rsid w:val="00E4100A"/>
    <w:rsid w:val="00E41B5E"/>
    <w:rsid w:val="00E424DB"/>
    <w:rsid w:val="00E43809"/>
    <w:rsid w:val="00E44785"/>
    <w:rsid w:val="00E46F1C"/>
    <w:rsid w:val="00E46FF0"/>
    <w:rsid w:val="00E511DF"/>
    <w:rsid w:val="00E55039"/>
    <w:rsid w:val="00E55D5B"/>
    <w:rsid w:val="00E55DCA"/>
    <w:rsid w:val="00E565F0"/>
    <w:rsid w:val="00E5719B"/>
    <w:rsid w:val="00E572B6"/>
    <w:rsid w:val="00E57C99"/>
    <w:rsid w:val="00E60310"/>
    <w:rsid w:val="00E60BD3"/>
    <w:rsid w:val="00E616C5"/>
    <w:rsid w:val="00E61E89"/>
    <w:rsid w:val="00E623A9"/>
    <w:rsid w:val="00E644A3"/>
    <w:rsid w:val="00E64DEB"/>
    <w:rsid w:val="00E65269"/>
    <w:rsid w:val="00E67329"/>
    <w:rsid w:val="00E6762C"/>
    <w:rsid w:val="00E67DF5"/>
    <w:rsid w:val="00E702EE"/>
    <w:rsid w:val="00E72006"/>
    <w:rsid w:val="00E725F2"/>
    <w:rsid w:val="00E73260"/>
    <w:rsid w:val="00E749F0"/>
    <w:rsid w:val="00E75551"/>
    <w:rsid w:val="00E75E29"/>
    <w:rsid w:val="00E77039"/>
    <w:rsid w:val="00E77163"/>
    <w:rsid w:val="00E77259"/>
    <w:rsid w:val="00E80749"/>
    <w:rsid w:val="00E81EEF"/>
    <w:rsid w:val="00E822AA"/>
    <w:rsid w:val="00E824C3"/>
    <w:rsid w:val="00E83CE1"/>
    <w:rsid w:val="00E842D0"/>
    <w:rsid w:val="00E85299"/>
    <w:rsid w:val="00E85EA7"/>
    <w:rsid w:val="00E90828"/>
    <w:rsid w:val="00E93971"/>
    <w:rsid w:val="00E94B2B"/>
    <w:rsid w:val="00E96FA5"/>
    <w:rsid w:val="00E9769C"/>
    <w:rsid w:val="00EA1BA1"/>
    <w:rsid w:val="00EA1D89"/>
    <w:rsid w:val="00EA2AF4"/>
    <w:rsid w:val="00EA46F6"/>
    <w:rsid w:val="00EA62A4"/>
    <w:rsid w:val="00EB0053"/>
    <w:rsid w:val="00EB0497"/>
    <w:rsid w:val="00EB2236"/>
    <w:rsid w:val="00EB2353"/>
    <w:rsid w:val="00EB57E5"/>
    <w:rsid w:val="00EB5ECE"/>
    <w:rsid w:val="00EB6005"/>
    <w:rsid w:val="00EB6D52"/>
    <w:rsid w:val="00EB7948"/>
    <w:rsid w:val="00EB7F65"/>
    <w:rsid w:val="00EC130B"/>
    <w:rsid w:val="00EC2983"/>
    <w:rsid w:val="00EC3FE8"/>
    <w:rsid w:val="00EC4A6C"/>
    <w:rsid w:val="00EC4F05"/>
    <w:rsid w:val="00EC5433"/>
    <w:rsid w:val="00EC5843"/>
    <w:rsid w:val="00ED0090"/>
    <w:rsid w:val="00ED02B5"/>
    <w:rsid w:val="00ED0FF2"/>
    <w:rsid w:val="00ED13CD"/>
    <w:rsid w:val="00ED1C0E"/>
    <w:rsid w:val="00ED1EF9"/>
    <w:rsid w:val="00ED2462"/>
    <w:rsid w:val="00ED2BF5"/>
    <w:rsid w:val="00ED409D"/>
    <w:rsid w:val="00ED4B44"/>
    <w:rsid w:val="00ED551A"/>
    <w:rsid w:val="00EE0DAB"/>
    <w:rsid w:val="00EE1802"/>
    <w:rsid w:val="00EE1A30"/>
    <w:rsid w:val="00EE1BA7"/>
    <w:rsid w:val="00EE3C9F"/>
    <w:rsid w:val="00EE43C7"/>
    <w:rsid w:val="00EE4905"/>
    <w:rsid w:val="00EE50D0"/>
    <w:rsid w:val="00EE52A3"/>
    <w:rsid w:val="00EE5B87"/>
    <w:rsid w:val="00EE6FE9"/>
    <w:rsid w:val="00EE7183"/>
    <w:rsid w:val="00EE733C"/>
    <w:rsid w:val="00EE795B"/>
    <w:rsid w:val="00EF1852"/>
    <w:rsid w:val="00EF2AFC"/>
    <w:rsid w:val="00EF3665"/>
    <w:rsid w:val="00EF3C76"/>
    <w:rsid w:val="00EF4678"/>
    <w:rsid w:val="00EF4D4D"/>
    <w:rsid w:val="00EF6B89"/>
    <w:rsid w:val="00EF71D8"/>
    <w:rsid w:val="00EF7748"/>
    <w:rsid w:val="00EF799E"/>
    <w:rsid w:val="00EF7D9E"/>
    <w:rsid w:val="00F0052A"/>
    <w:rsid w:val="00F01542"/>
    <w:rsid w:val="00F026D9"/>
    <w:rsid w:val="00F02C21"/>
    <w:rsid w:val="00F03A89"/>
    <w:rsid w:val="00F03FD2"/>
    <w:rsid w:val="00F0475E"/>
    <w:rsid w:val="00F07540"/>
    <w:rsid w:val="00F11A52"/>
    <w:rsid w:val="00F11CC4"/>
    <w:rsid w:val="00F12735"/>
    <w:rsid w:val="00F14213"/>
    <w:rsid w:val="00F17A2C"/>
    <w:rsid w:val="00F20313"/>
    <w:rsid w:val="00F2119B"/>
    <w:rsid w:val="00F23047"/>
    <w:rsid w:val="00F23E93"/>
    <w:rsid w:val="00F24288"/>
    <w:rsid w:val="00F255CC"/>
    <w:rsid w:val="00F261D5"/>
    <w:rsid w:val="00F26ACC"/>
    <w:rsid w:val="00F26FA1"/>
    <w:rsid w:val="00F273B1"/>
    <w:rsid w:val="00F301B9"/>
    <w:rsid w:val="00F31BF3"/>
    <w:rsid w:val="00F3266A"/>
    <w:rsid w:val="00F32CC1"/>
    <w:rsid w:val="00F34B2E"/>
    <w:rsid w:val="00F34FE4"/>
    <w:rsid w:val="00F37058"/>
    <w:rsid w:val="00F379E9"/>
    <w:rsid w:val="00F37C8A"/>
    <w:rsid w:val="00F408FE"/>
    <w:rsid w:val="00F4110F"/>
    <w:rsid w:val="00F4126B"/>
    <w:rsid w:val="00F4167B"/>
    <w:rsid w:val="00F439CB"/>
    <w:rsid w:val="00F44D6E"/>
    <w:rsid w:val="00F45813"/>
    <w:rsid w:val="00F46EE0"/>
    <w:rsid w:val="00F50334"/>
    <w:rsid w:val="00F511B6"/>
    <w:rsid w:val="00F51F16"/>
    <w:rsid w:val="00F53288"/>
    <w:rsid w:val="00F53BA9"/>
    <w:rsid w:val="00F53FFA"/>
    <w:rsid w:val="00F54DF8"/>
    <w:rsid w:val="00F55F62"/>
    <w:rsid w:val="00F57484"/>
    <w:rsid w:val="00F578AF"/>
    <w:rsid w:val="00F615E8"/>
    <w:rsid w:val="00F61EFD"/>
    <w:rsid w:val="00F620C7"/>
    <w:rsid w:val="00F627C8"/>
    <w:rsid w:val="00F636A7"/>
    <w:rsid w:val="00F641E1"/>
    <w:rsid w:val="00F65875"/>
    <w:rsid w:val="00F70884"/>
    <w:rsid w:val="00F7163A"/>
    <w:rsid w:val="00F72474"/>
    <w:rsid w:val="00F75E6F"/>
    <w:rsid w:val="00F764C2"/>
    <w:rsid w:val="00F77FF2"/>
    <w:rsid w:val="00F81384"/>
    <w:rsid w:val="00F84F82"/>
    <w:rsid w:val="00F853A3"/>
    <w:rsid w:val="00F86917"/>
    <w:rsid w:val="00F874FA"/>
    <w:rsid w:val="00F87B49"/>
    <w:rsid w:val="00F916AD"/>
    <w:rsid w:val="00F928BC"/>
    <w:rsid w:val="00F93724"/>
    <w:rsid w:val="00F94D0B"/>
    <w:rsid w:val="00F95635"/>
    <w:rsid w:val="00F95834"/>
    <w:rsid w:val="00F97E6C"/>
    <w:rsid w:val="00FA1375"/>
    <w:rsid w:val="00FA3CB1"/>
    <w:rsid w:val="00FA439A"/>
    <w:rsid w:val="00FA52AB"/>
    <w:rsid w:val="00FA5480"/>
    <w:rsid w:val="00FA6252"/>
    <w:rsid w:val="00FA7ACA"/>
    <w:rsid w:val="00FB1BD9"/>
    <w:rsid w:val="00FB5E9E"/>
    <w:rsid w:val="00FC0AE4"/>
    <w:rsid w:val="00FC15B3"/>
    <w:rsid w:val="00FC1DFA"/>
    <w:rsid w:val="00FC23FC"/>
    <w:rsid w:val="00FC2C8F"/>
    <w:rsid w:val="00FC2DEA"/>
    <w:rsid w:val="00FC3BCC"/>
    <w:rsid w:val="00FC533C"/>
    <w:rsid w:val="00FC66AE"/>
    <w:rsid w:val="00FD057F"/>
    <w:rsid w:val="00FD07E7"/>
    <w:rsid w:val="00FD1407"/>
    <w:rsid w:val="00FD2C97"/>
    <w:rsid w:val="00FD30A3"/>
    <w:rsid w:val="00FD448F"/>
    <w:rsid w:val="00FD516D"/>
    <w:rsid w:val="00FD65E4"/>
    <w:rsid w:val="00FD7CA5"/>
    <w:rsid w:val="00FE0B2F"/>
    <w:rsid w:val="00FE28A1"/>
    <w:rsid w:val="00FE3FBD"/>
    <w:rsid w:val="00FE60F9"/>
    <w:rsid w:val="00FE6B98"/>
    <w:rsid w:val="00FE7269"/>
    <w:rsid w:val="00FE7BBB"/>
    <w:rsid w:val="00FF0339"/>
    <w:rsid w:val="00FF0C01"/>
    <w:rsid w:val="00FF0C38"/>
    <w:rsid w:val="00FF1BD1"/>
    <w:rsid w:val="00FF5027"/>
    <w:rsid w:val="00FF5D48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3E06"/>
  <w15:docId w15:val="{E71866AB-7E2B-4C25-8EB6-CFC5B54E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D5"/>
    <w:pPr>
      <w:spacing w:line="276" w:lineRule="auto"/>
      <w:jc w:val="both"/>
    </w:pPr>
    <w:rPr>
      <w:rFonts w:ascii="Arial" w:eastAsia="Times New Roman" w:hAnsi="Arial" w:cs="Times New Roman"/>
      <w:lang w:val="hr-HR" w:eastAsia="en-AU"/>
    </w:rPr>
  </w:style>
  <w:style w:type="paragraph" w:styleId="Naslov1">
    <w:name w:val="heading 1"/>
    <w:basedOn w:val="Naslov2"/>
    <w:next w:val="Tijeloteksta"/>
    <w:link w:val="Naslov1Char"/>
    <w:uiPriority w:val="9"/>
    <w:qFormat/>
    <w:rsid w:val="006654E8"/>
    <w:pPr>
      <w:pageBreakBefore/>
      <w:numPr>
        <w:ilvl w:val="0"/>
      </w:numPr>
      <w:tabs>
        <w:tab w:val="clear" w:pos="4564"/>
        <w:tab w:val="num" w:pos="4384"/>
      </w:tabs>
      <w:spacing w:line="360" w:lineRule="exact"/>
      <w:ind w:left="964"/>
      <w:outlineLvl w:val="0"/>
    </w:pPr>
    <w:rPr>
      <w:sz w:val="32"/>
    </w:rPr>
  </w:style>
  <w:style w:type="paragraph" w:styleId="Naslov2">
    <w:name w:val="heading 2"/>
    <w:basedOn w:val="Tijeloteksta"/>
    <w:next w:val="Tijeloteksta"/>
    <w:link w:val="Naslov2Char"/>
    <w:uiPriority w:val="9"/>
    <w:qFormat/>
    <w:rsid w:val="002661C6"/>
    <w:pPr>
      <w:keepNext/>
      <w:numPr>
        <w:ilvl w:val="1"/>
        <w:numId w:val="1"/>
      </w:numPr>
      <w:spacing w:line="240" w:lineRule="auto"/>
      <w:ind w:left="964"/>
      <w:jc w:val="both"/>
      <w:outlineLvl w:val="1"/>
    </w:pPr>
    <w:rPr>
      <w:b/>
      <w:color w:val="00338D"/>
      <w:sz w:val="24"/>
    </w:rPr>
  </w:style>
  <w:style w:type="paragraph" w:styleId="Naslov3">
    <w:name w:val="heading 3"/>
    <w:basedOn w:val="Naslov4"/>
    <w:next w:val="Tijeloteksta"/>
    <w:link w:val="Naslov3Char"/>
    <w:uiPriority w:val="9"/>
    <w:qFormat/>
    <w:rsid w:val="00DA3F6A"/>
    <w:pPr>
      <w:numPr>
        <w:ilvl w:val="2"/>
      </w:numPr>
      <w:outlineLvl w:val="2"/>
    </w:pPr>
  </w:style>
  <w:style w:type="paragraph" w:styleId="Naslov4">
    <w:name w:val="heading 4"/>
    <w:basedOn w:val="Naslov5"/>
    <w:next w:val="Tijeloteksta"/>
    <w:link w:val="Naslov4Char"/>
    <w:uiPriority w:val="9"/>
    <w:qFormat/>
    <w:rsid w:val="00DA3F6A"/>
    <w:pPr>
      <w:keepLines w:val="0"/>
      <w:numPr>
        <w:ilvl w:val="3"/>
        <w:numId w:val="1"/>
      </w:numPr>
      <w:tabs>
        <w:tab w:val="clear" w:pos="1344"/>
        <w:tab w:val="num" w:pos="20"/>
      </w:tabs>
      <w:spacing w:before="400" w:line="280" w:lineRule="exact"/>
      <w:ind w:left="964"/>
      <w:outlineLvl w:val="3"/>
    </w:pPr>
    <w:rPr>
      <w:rFonts w:ascii="Arial" w:eastAsia="Times New Roman" w:hAnsi="Arial" w:cs="Times New Roman"/>
      <w:color w:val="00338D"/>
      <w:sz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432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4E8"/>
    <w:rPr>
      <w:rFonts w:ascii="Arial" w:eastAsia="Times New Roman" w:hAnsi="Arial" w:cs="Times New Roman"/>
      <w:b/>
      <w:color w:val="00338D"/>
      <w:sz w:val="32"/>
      <w:lang w:val="hr-HR" w:eastAsia="en-AU"/>
    </w:rPr>
  </w:style>
  <w:style w:type="character" w:customStyle="1" w:styleId="Naslov2Char">
    <w:name w:val="Naslov 2 Char"/>
    <w:basedOn w:val="Zadanifontodlomka"/>
    <w:link w:val="Naslov2"/>
    <w:uiPriority w:val="9"/>
    <w:rsid w:val="002661C6"/>
    <w:rPr>
      <w:rFonts w:ascii="Arial" w:eastAsia="Times New Roman" w:hAnsi="Arial" w:cs="Times New Roman"/>
      <w:b/>
      <w:color w:val="00338D"/>
      <w:sz w:val="24"/>
      <w:lang w:val="hr-HR" w:eastAsia="en-AU"/>
    </w:rPr>
  </w:style>
  <w:style w:type="character" w:customStyle="1" w:styleId="Naslov3Char">
    <w:name w:val="Naslov 3 Char"/>
    <w:basedOn w:val="Zadanifontodlomka"/>
    <w:link w:val="Naslov3"/>
    <w:uiPriority w:val="9"/>
    <w:rsid w:val="00DA3F6A"/>
    <w:rPr>
      <w:rFonts w:ascii="Arial" w:eastAsia="Times New Roman" w:hAnsi="Arial" w:cs="Times New Roman"/>
      <w:color w:val="00338D"/>
      <w:sz w:val="24"/>
      <w:lang w:val="hr-HR" w:eastAsia="en-AU"/>
    </w:rPr>
  </w:style>
  <w:style w:type="character" w:customStyle="1" w:styleId="Naslov4Char">
    <w:name w:val="Naslov 4 Char"/>
    <w:basedOn w:val="Zadanifontodlomka"/>
    <w:link w:val="Naslov4"/>
    <w:uiPriority w:val="9"/>
    <w:rsid w:val="00DA3F6A"/>
    <w:rPr>
      <w:rFonts w:ascii="Arial" w:eastAsia="Times New Roman" w:hAnsi="Arial" w:cs="Times New Roman"/>
      <w:color w:val="00338D"/>
      <w:sz w:val="24"/>
      <w:lang w:val="hr-HR" w:eastAsia="en-AU"/>
    </w:rPr>
  </w:style>
  <w:style w:type="paragraph" w:styleId="Tijeloteksta">
    <w:name w:val="Body Text"/>
    <w:basedOn w:val="Normal"/>
    <w:link w:val="TijelotekstaChar"/>
    <w:qFormat/>
    <w:rsid w:val="00B70B85"/>
    <w:pPr>
      <w:jc w:val="center"/>
    </w:pPr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B70B85"/>
    <w:rPr>
      <w:rFonts w:ascii="Arial" w:eastAsia="Times New Roman" w:hAnsi="Arial" w:cs="Times New Roman"/>
      <w:sz w:val="20"/>
      <w:lang w:val="hr-HR" w:eastAsia="en-AU"/>
    </w:rPr>
  </w:style>
  <w:style w:type="paragraph" w:styleId="Tekstfusnote">
    <w:name w:val="footnote text"/>
    <w:aliases w:val="header,Char Char,Sprotna opomba - besedilo Znak1,Sprotna opomba - besedilo Znak Znak2,Sprotna opomba - besedilo Znak1 Znak Znak1,Sprotna opomba - besedilo Znak1 Znak Znak Znak,Sprotna opomba - besedilo Znak Znak Znak Znak Znak,Char,- OP"/>
    <w:basedOn w:val="Normal"/>
    <w:link w:val="TekstfusnoteChar"/>
    <w:uiPriority w:val="99"/>
    <w:qFormat/>
    <w:rsid w:val="00373E40"/>
    <w:pPr>
      <w:spacing w:after="0"/>
    </w:pPr>
    <w:rPr>
      <w:sz w:val="16"/>
    </w:rPr>
  </w:style>
  <w:style w:type="character" w:customStyle="1" w:styleId="TekstfusnoteChar">
    <w:name w:val="Tekst fusnote Char"/>
    <w:aliases w:val="header Char,Char Char Char,Sprotna opomba - besedilo Znak1 Char,Sprotna opomba - besedilo Znak Znak2 Char,Sprotna opomba - besedilo Znak1 Znak Znak1 Char,Sprotna opomba - besedilo Znak1 Znak Znak Znak Char,Char Char1,- OP Char"/>
    <w:basedOn w:val="Zadanifontodlomka"/>
    <w:link w:val="Tekstfusnote"/>
    <w:uiPriority w:val="99"/>
    <w:qFormat/>
    <w:rsid w:val="00373E40"/>
    <w:rPr>
      <w:rFonts w:ascii="Arial" w:eastAsia="Times New Roman" w:hAnsi="Arial" w:cs="Times New Roman"/>
      <w:sz w:val="16"/>
      <w:lang w:val="hr-HR" w:eastAsia="en-AU"/>
    </w:rPr>
  </w:style>
  <w:style w:type="character" w:styleId="Referencafusnote">
    <w:name w:val="footnote reference"/>
    <w:aliases w:val="Footnote symbol,Fussnota,Footnote anchor,Times 10 Point,Exposant 3 Point,Footnote reference number,Voetnootverwijzing,Footnote number,fr,Footnotemark,FR,Footnotemark1,Footnotemark2,FR1,Footnotemark3,FR2,Footnotemark4,BVI fnr"/>
    <w:basedOn w:val="Zadanifontodlomka"/>
    <w:uiPriority w:val="99"/>
    <w:unhideWhenUsed/>
    <w:qFormat/>
    <w:rsid w:val="00ED0FF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D0FF2"/>
    <w:rPr>
      <w:color w:val="0563C1" w:themeColor="hyperlink"/>
      <w:u w:val="single"/>
    </w:rPr>
  </w:style>
  <w:style w:type="paragraph" w:styleId="Odlomakpopisa">
    <w:name w:val="List Paragraph"/>
    <w:aliases w:val="Numbering,ERP-List Paragraph,List Paragraph1,List Paragraph11,Paragraph,Bullet EY,List Paragraph2,Bullet List,FooterText,Task Body,Viñetas (Inicio Parrafo),3 Txt tabla,Zerrenda-paragrafoa,Lista multicolor - Énfasis 11,Lista viñetas,List1"/>
    <w:basedOn w:val="Normal"/>
    <w:link w:val="OdlomakpopisaChar"/>
    <w:autoRedefine/>
    <w:uiPriority w:val="34"/>
    <w:qFormat/>
    <w:rsid w:val="00CB2946"/>
    <w:pPr>
      <w:numPr>
        <w:numId w:val="27"/>
      </w:numPr>
      <w:spacing w:after="0" w:line="240" w:lineRule="auto"/>
      <w:contextualSpacing/>
    </w:pPr>
    <w:rPr>
      <w:rFonts w:eastAsiaTheme="minorEastAsia" w:cs="Arial"/>
      <w:szCs w:val="20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D0F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D0FF2"/>
    <w:pPr>
      <w:spacing w:after="120"/>
    </w:pPr>
    <w:rPr>
      <w:rFonts w:eastAsiaTheme="minorEastAsia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D0FF2"/>
    <w:rPr>
      <w:rFonts w:eastAsiaTheme="minorEastAsia"/>
      <w:sz w:val="20"/>
      <w:szCs w:val="20"/>
    </w:rPr>
  </w:style>
  <w:style w:type="character" w:customStyle="1" w:styleId="OdlomakpopisaChar">
    <w:name w:val="Odlomak popisa Char"/>
    <w:aliases w:val="Numbering Char,ERP-List Paragraph Char,List Paragraph1 Char,List Paragraph11 Char,Paragraph Char,Bullet EY Char,List Paragraph2 Char,Bullet List Char,FooterText Char,Task Body Char,Viñetas (Inicio Parrafo) Char,3 Txt tabla Char"/>
    <w:basedOn w:val="Zadanifontodlomka"/>
    <w:link w:val="Odlomakpopisa"/>
    <w:uiPriority w:val="34"/>
    <w:qFormat/>
    <w:rsid w:val="00CB2946"/>
    <w:rPr>
      <w:rFonts w:ascii="Arial" w:eastAsiaTheme="minorEastAsia" w:hAnsi="Arial" w:cs="Arial"/>
      <w:szCs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ED0FF2"/>
    <w:pPr>
      <w:widowControl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0FF2"/>
    <w:pPr>
      <w:widowControl w:val="0"/>
    </w:pPr>
    <w:rPr>
      <w:rFonts w:eastAsiaTheme="minorHAnsi" w:cstheme="minorBidi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443274"/>
    <w:rPr>
      <w:rFonts w:asciiTheme="majorHAnsi" w:eastAsiaTheme="majorEastAsia" w:hAnsiTheme="majorHAnsi" w:cstheme="majorBidi"/>
      <w:color w:val="1F4E79" w:themeColor="accent1" w:themeShade="80"/>
      <w:sz w:val="20"/>
      <w:lang w:val="hr-HR" w:eastAsia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0F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FF2"/>
    <w:rPr>
      <w:rFonts w:ascii="Segoe UI" w:eastAsia="Times New Roman" w:hAnsi="Segoe UI" w:cs="Segoe UI"/>
      <w:sz w:val="18"/>
      <w:szCs w:val="18"/>
      <w:lang w:eastAsia="en-AU"/>
    </w:rPr>
  </w:style>
  <w:style w:type="character" w:styleId="Jakoisticanje">
    <w:name w:val="Intense Emphasis"/>
    <w:uiPriority w:val="21"/>
    <w:qFormat/>
    <w:rsid w:val="00296CC1"/>
    <w:rPr>
      <w:b/>
      <w:bCs/>
      <w:iCs/>
      <w:color w:val="1F4E79" w:themeColor="accent1" w:themeShade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8E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5248E"/>
    <w:rPr>
      <w:rFonts w:eastAsiaTheme="minorEastAsia"/>
      <w:color w:val="5A5A5A" w:themeColor="text1" w:themeTint="A5"/>
      <w:spacing w:val="15"/>
      <w:lang w:eastAsia="en-AU"/>
    </w:rPr>
  </w:style>
  <w:style w:type="paragraph" w:styleId="TOCNaslov">
    <w:name w:val="TOC Heading"/>
    <w:basedOn w:val="Naslov1"/>
    <w:next w:val="Normal"/>
    <w:uiPriority w:val="39"/>
    <w:unhideWhenUsed/>
    <w:qFormat/>
    <w:rsid w:val="00D739A8"/>
    <w:pPr>
      <w:keepLines/>
      <w:pageBreakBefore w:val="0"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D73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A1658"/>
    <w:pPr>
      <w:tabs>
        <w:tab w:val="left" w:pos="880"/>
        <w:tab w:val="right" w:leader="dot" w:pos="8613"/>
      </w:tabs>
      <w:spacing w:after="100"/>
      <w:ind w:left="220"/>
    </w:pPr>
    <w:rPr>
      <w:rFonts w:cs="Arial"/>
      <w:i/>
      <w:noProof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E75E29"/>
    <w:pPr>
      <w:tabs>
        <w:tab w:val="left" w:pos="1320"/>
        <w:tab w:val="right" w:leader="dot" w:pos="9016"/>
      </w:tabs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D739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9A8"/>
    <w:rPr>
      <w:rFonts w:eastAsia="Times New Roman" w:cs="Times New Roman"/>
      <w:lang w:eastAsia="en-AU"/>
    </w:rPr>
  </w:style>
  <w:style w:type="paragraph" w:styleId="Podnoje">
    <w:name w:val="footer"/>
    <w:basedOn w:val="Normal"/>
    <w:link w:val="PodnojeChar"/>
    <w:uiPriority w:val="99"/>
    <w:unhideWhenUsed/>
    <w:rsid w:val="00D739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9A8"/>
    <w:rPr>
      <w:rFonts w:eastAsia="Times New Roman" w:cs="Times New Roman"/>
      <w:lang w:eastAsia="en-AU"/>
    </w:rPr>
  </w:style>
  <w:style w:type="paragraph" w:customStyle="1" w:styleId="Normal1">
    <w:name w:val="Normal1"/>
    <w:basedOn w:val="Normal"/>
    <w:rsid w:val="00551DD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551DDB"/>
  </w:style>
  <w:style w:type="paragraph" w:styleId="Opisslike">
    <w:name w:val="caption"/>
    <w:basedOn w:val="Normal"/>
    <w:next w:val="Normal"/>
    <w:uiPriority w:val="35"/>
    <w:unhideWhenUsed/>
    <w:qFormat/>
    <w:rsid w:val="00B70B85"/>
    <w:pPr>
      <w:spacing w:after="200"/>
      <w:jc w:val="center"/>
    </w:pPr>
    <w:rPr>
      <w:iCs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15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52A72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F853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Zadanifontodlomka"/>
    <w:rsid w:val="00BD2CC2"/>
  </w:style>
  <w:style w:type="character" w:customStyle="1" w:styleId="jlqj4b">
    <w:name w:val="jlqj4b"/>
    <w:basedOn w:val="Zadanifontodlomka"/>
    <w:rsid w:val="00BD2CC2"/>
  </w:style>
  <w:style w:type="paragraph" w:styleId="StandardWeb">
    <w:name w:val="Normal (Web)"/>
    <w:basedOn w:val="Normal"/>
    <w:unhideWhenUsed/>
    <w:qFormat/>
    <w:rsid w:val="003F6D9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box462141">
    <w:name w:val="box_462141"/>
    <w:basedOn w:val="Normal"/>
    <w:rsid w:val="00AF42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ezproreda">
    <w:name w:val="No Spacing"/>
    <w:uiPriority w:val="1"/>
    <w:qFormat/>
    <w:rsid w:val="006654E8"/>
    <w:pPr>
      <w:spacing w:after="0"/>
      <w:jc w:val="both"/>
    </w:pPr>
    <w:rPr>
      <w:rFonts w:eastAsia="Times New Roman" w:cs="Times New Roman"/>
      <w:lang w:val="hr-HR" w:eastAsia="en-AU"/>
    </w:rPr>
  </w:style>
  <w:style w:type="paragraph" w:customStyle="1" w:styleId="box468285">
    <w:name w:val="box_468285"/>
    <w:basedOn w:val="Normal"/>
    <w:rsid w:val="006F1D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0C6FA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ablicaslika">
    <w:name w:val="table of figures"/>
    <w:basedOn w:val="Normal"/>
    <w:next w:val="Normal"/>
    <w:uiPriority w:val="99"/>
    <w:unhideWhenUsed/>
    <w:rsid w:val="001C1DA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6DCF"/>
    <w:pPr>
      <w:spacing w:after="0"/>
    </w:pPr>
    <w:rPr>
      <w:rFonts w:eastAsia="Times New Roman" w:cs="Times New Roman"/>
      <w:b/>
      <w:bCs/>
      <w:lang w:eastAsia="en-AU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6DCF"/>
    <w:rPr>
      <w:rFonts w:eastAsia="Times New Roman" w:cs="Times New Roman"/>
      <w:b/>
      <w:bCs/>
      <w:sz w:val="20"/>
      <w:szCs w:val="20"/>
      <w:lang w:val="hr-HR" w:eastAsia="en-AU"/>
    </w:rPr>
  </w:style>
  <w:style w:type="paragraph" w:styleId="Revizija">
    <w:name w:val="Revision"/>
    <w:hidden/>
    <w:uiPriority w:val="99"/>
    <w:semiHidden/>
    <w:rsid w:val="0087713F"/>
    <w:pPr>
      <w:spacing w:after="0"/>
    </w:pPr>
    <w:rPr>
      <w:rFonts w:eastAsia="Times New Roman" w:cs="Times New Roman"/>
      <w:lang w:val="hr-HR" w:eastAsia="en-AU"/>
    </w:rPr>
  </w:style>
  <w:style w:type="table" w:customStyle="1" w:styleId="TableGrid6">
    <w:name w:val="Table Grid6"/>
    <w:basedOn w:val="Obinatablica"/>
    <w:next w:val="Reetkatablice"/>
    <w:uiPriority w:val="59"/>
    <w:rsid w:val="0064197F"/>
    <w:pPr>
      <w:spacing w:after="0"/>
      <w:jc w:val="both"/>
    </w:pPr>
    <w:rPr>
      <w:rFonts w:ascii="Arial" w:hAnsi="Arial" w:cs="Arial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022AF0"/>
    <w:rPr>
      <w:b/>
      <w:bCs/>
    </w:rPr>
  </w:style>
  <w:style w:type="table" w:styleId="Svijetlatablicareetke-isticanje1">
    <w:name w:val="Grid Table 1 Light Accent 1"/>
    <w:basedOn w:val="Obinatablica"/>
    <w:uiPriority w:val="46"/>
    <w:rsid w:val="00A230EB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ilOpisslikeIza0pt">
    <w:name w:val="Stil Opis slike + Iza:  0 pt"/>
    <w:basedOn w:val="Opisslike"/>
    <w:rsid w:val="00683342"/>
    <w:pPr>
      <w:spacing w:after="0"/>
    </w:pPr>
    <w:rPr>
      <w:i/>
      <w:szCs w:val="20"/>
      <w:lang w:eastAsia="en-US"/>
    </w:rPr>
  </w:style>
  <w:style w:type="character" w:customStyle="1" w:styleId="summarymark1">
    <w:name w:val="summarymark1"/>
    <w:basedOn w:val="Zadanifontodlomka"/>
    <w:rsid w:val="00683342"/>
    <w:rPr>
      <w:b/>
      <w:bCs/>
      <w:color w:val="FF0000"/>
    </w:rPr>
  </w:style>
  <w:style w:type="character" w:customStyle="1" w:styleId="y2iqfc">
    <w:name w:val="y2iqfc"/>
    <w:basedOn w:val="Zadanifontodlomka"/>
    <w:rsid w:val="00373E40"/>
  </w:style>
  <w:style w:type="paragraph" w:customStyle="1" w:styleId="msonormal0">
    <w:name w:val="msonormal"/>
    <w:basedOn w:val="Normal"/>
    <w:rsid w:val="00ED409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ED40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ED40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ED40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val="en-US" w:eastAsia="en-US"/>
    </w:rPr>
  </w:style>
  <w:style w:type="paragraph" w:customStyle="1" w:styleId="xl72">
    <w:name w:val="xl72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val="en-US" w:eastAsia="en-US"/>
    </w:rPr>
  </w:style>
  <w:style w:type="paragraph" w:customStyle="1" w:styleId="xl73">
    <w:name w:val="xl73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4">
    <w:name w:val="xl74"/>
    <w:basedOn w:val="Normal"/>
    <w:rsid w:val="00ED40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5">
    <w:name w:val="xl75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6">
    <w:name w:val="xl76"/>
    <w:basedOn w:val="Normal"/>
    <w:rsid w:val="00ED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E842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842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842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E842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E842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E842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E842D0"/>
    <w:pPr>
      <w:pBdr>
        <w:top w:val="single" w:sz="4" w:space="0" w:color="auto"/>
        <w:lef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E842D0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8">
    <w:name w:val="xl88"/>
    <w:basedOn w:val="Normal"/>
    <w:rsid w:val="00E842D0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9">
    <w:name w:val="xl89"/>
    <w:basedOn w:val="Normal"/>
    <w:rsid w:val="00E842D0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0">
    <w:name w:val="xl90"/>
    <w:basedOn w:val="Normal"/>
    <w:rsid w:val="00E842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1">
    <w:name w:val="xl91"/>
    <w:basedOn w:val="Normal"/>
    <w:rsid w:val="00E842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2">
    <w:name w:val="xl92"/>
    <w:basedOn w:val="Normal"/>
    <w:rsid w:val="00E842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table" w:styleId="Tablicapopisa3-isticanje1">
    <w:name w:val="List Table 3 Accent 1"/>
    <w:basedOn w:val="Obinatablica"/>
    <w:uiPriority w:val="48"/>
    <w:rsid w:val="00334D8B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334D8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umberedParagraphChar">
    <w:name w:val="Numbered Paragraph Char"/>
    <w:aliases w:val="Main numbered paragraph Char,Numbered List Paragraph Char,IBL List Paragraph Char,List Paragraph nowy Char,본문(내용) Char"/>
    <w:basedOn w:val="Zadanifontodlomka"/>
    <w:link w:val="NumberedParagraph"/>
    <w:uiPriority w:val="34"/>
    <w:locked/>
    <w:rsid w:val="00827229"/>
    <w:rPr>
      <w:rFonts w:ascii="Times New Roman" w:hAnsi="Times New Roman" w:cs="Times New Roman"/>
    </w:rPr>
  </w:style>
  <w:style w:type="paragraph" w:customStyle="1" w:styleId="NumberedParagraph">
    <w:name w:val="Numbered Paragraph"/>
    <w:next w:val="Normal"/>
    <w:link w:val="NumberedParagraphChar"/>
    <w:uiPriority w:val="34"/>
    <w:qFormat/>
    <w:rsid w:val="00827229"/>
    <w:pPr>
      <w:numPr>
        <w:numId w:val="2"/>
      </w:numPr>
      <w:tabs>
        <w:tab w:val="num" w:pos="360"/>
        <w:tab w:val="left" w:pos="540"/>
      </w:tabs>
      <w:spacing w:after="240"/>
      <w:ind w:left="0"/>
      <w:jc w:val="both"/>
    </w:pPr>
    <w:rPr>
      <w:rFonts w:ascii="Times New Roman" w:hAnsi="Times New Roman" w:cs="Times New Roman"/>
    </w:rPr>
  </w:style>
  <w:style w:type="table" w:styleId="Tamnatablicareetke5-isticanje5">
    <w:name w:val="Grid Table 5 Dark Accent 5"/>
    <w:basedOn w:val="Obinatablica"/>
    <w:uiPriority w:val="50"/>
    <w:rsid w:val="005E596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popisa4-isticanje1">
    <w:name w:val="List Table 4 Accent 1"/>
    <w:basedOn w:val="Obinatablica"/>
    <w:uiPriority w:val="49"/>
    <w:rsid w:val="004D39A8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4D39A8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mnatablicapopisa5-isticanje5">
    <w:name w:val="List Table 5 Dark Accent 5"/>
    <w:basedOn w:val="Obinatablica"/>
    <w:uiPriority w:val="50"/>
    <w:rsid w:val="001E512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AB6073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Svijetlatablicareetke1-isticanje5">
    <w:name w:val="Grid Table 1 Light Accent 5"/>
    <w:basedOn w:val="Obinatablica"/>
    <w:uiPriority w:val="46"/>
    <w:rsid w:val="00E214B4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11046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36DE-9E6A-4DFE-8B7B-61EA9B6D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13329</Words>
  <Characters>75981</Characters>
  <Application>Microsoft Office Word</Application>
  <DocSecurity>0</DocSecurity>
  <Lines>633</Lines>
  <Paragraphs>178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Inovacije i razvoj</dc:creator>
  <cp:keywords/>
  <dc:description/>
  <cp:lastModifiedBy>12</cp:lastModifiedBy>
  <cp:revision>2</cp:revision>
  <dcterms:created xsi:type="dcterms:W3CDTF">2022-12-22T12:56:00Z</dcterms:created>
  <dcterms:modified xsi:type="dcterms:W3CDTF">2022-12-22T12:56:00Z</dcterms:modified>
</cp:coreProperties>
</file>